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color w:val="auto"/>
          <w:sz w:val="56"/>
          <w:szCs w:val="56"/>
        </w:rPr>
      </w:pPr>
    </w:p>
    <w:p>
      <w:pPr>
        <w:pStyle w:val="12"/>
        <w:jc w:val="center"/>
        <w:rPr>
          <w:color w:val="auto"/>
          <w:sz w:val="84"/>
          <w:szCs w:val="84"/>
        </w:rPr>
      </w:pPr>
    </w:p>
    <w:p>
      <w:pPr>
        <w:pStyle w:val="12"/>
        <w:jc w:val="center"/>
        <w:rPr>
          <w:color w:val="auto"/>
          <w:sz w:val="84"/>
          <w:szCs w:val="84"/>
        </w:rPr>
      </w:pPr>
    </w:p>
    <w:p>
      <w:pPr>
        <w:pStyle w:val="12"/>
        <w:jc w:val="center"/>
        <w:rPr>
          <w:color w:val="auto"/>
          <w:sz w:val="84"/>
          <w:szCs w:val="84"/>
        </w:rPr>
      </w:pPr>
      <w:r>
        <w:rPr>
          <w:rFonts w:hint="eastAsia"/>
          <w:color w:val="auto"/>
          <w:sz w:val="84"/>
          <w:szCs w:val="84"/>
        </w:rPr>
        <w:t>2019年度</w:t>
      </w:r>
    </w:p>
    <w:p>
      <w:pPr>
        <w:pStyle w:val="12"/>
        <w:jc w:val="center"/>
        <w:rPr>
          <w:rFonts w:hint="eastAsia"/>
          <w:color w:val="auto"/>
          <w:sz w:val="84"/>
          <w:szCs w:val="84"/>
          <w:lang w:eastAsia="zh-CN"/>
        </w:rPr>
      </w:pPr>
      <w:r>
        <w:rPr>
          <w:rFonts w:hint="eastAsia"/>
          <w:color w:val="auto"/>
          <w:sz w:val="84"/>
          <w:szCs w:val="84"/>
          <w:lang w:eastAsia="zh-CN"/>
        </w:rPr>
        <w:t>郴州广播电视大学</w:t>
      </w:r>
    </w:p>
    <w:p>
      <w:pPr>
        <w:pStyle w:val="12"/>
        <w:jc w:val="center"/>
        <w:rPr>
          <w:color w:val="auto"/>
          <w:sz w:val="84"/>
          <w:szCs w:val="84"/>
        </w:rPr>
      </w:pPr>
      <w:r>
        <w:rPr>
          <w:rFonts w:hint="eastAsia"/>
          <w:color w:val="auto"/>
          <w:sz w:val="84"/>
          <w:szCs w:val="84"/>
        </w:rPr>
        <w:t>部门决算</w:t>
      </w:r>
    </w:p>
    <w:p>
      <w:pPr>
        <w:pStyle w:val="12"/>
        <w:jc w:val="center"/>
        <w:rPr>
          <w:color w:val="auto"/>
          <w:sz w:val="56"/>
          <w:szCs w:val="56"/>
        </w:rPr>
      </w:pPr>
    </w:p>
    <w:p>
      <w:pPr>
        <w:pStyle w:val="12"/>
        <w:jc w:val="center"/>
        <w:rPr>
          <w:color w:val="auto"/>
          <w:sz w:val="56"/>
          <w:szCs w:val="56"/>
        </w:rPr>
      </w:pPr>
    </w:p>
    <w:p>
      <w:pPr>
        <w:pStyle w:val="12"/>
        <w:jc w:val="center"/>
        <w:rPr>
          <w:color w:val="auto"/>
          <w:sz w:val="56"/>
          <w:szCs w:val="56"/>
        </w:rPr>
      </w:pPr>
    </w:p>
    <w:p>
      <w:pPr>
        <w:pStyle w:val="12"/>
        <w:jc w:val="center"/>
        <w:rPr>
          <w:color w:val="auto"/>
          <w:sz w:val="56"/>
          <w:szCs w:val="56"/>
        </w:rPr>
      </w:pPr>
    </w:p>
    <w:p>
      <w:pPr>
        <w:pStyle w:val="12"/>
        <w:jc w:val="center"/>
        <w:rPr>
          <w:color w:val="auto"/>
          <w:sz w:val="56"/>
          <w:szCs w:val="56"/>
        </w:rPr>
      </w:pPr>
    </w:p>
    <w:p>
      <w:pPr>
        <w:pStyle w:val="12"/>
        <w:jc w:val="center"/>
        <w:rPr>
          <w:color w:val="auto"/>
          <w:sz w:val="56"/>
          <w:szCs w:val="56"/>
        </w:rPr>
      </w:pPr>
    </w:p>
    <w:p>
      <w:pPr>
        <w:pStyle w:val="12"/>
        <w:jc w:val="center"/>
        <w:rPr>
          <w:color w:val="auto"/>
          <w:sz w:val="56"/>
          <w:szCs w:val="56"/>
        </w:rPr>
      </w:pPr>
    </w:p>
    <w:p>
      <w:pPr>
        <w:pStyle w:val="12"/>
        <w:spacing w:line="520" w:lineRule="exact"/>
        <w:jc w:val="center"/>
        <w:rPr>
          <w:color w:val="auto"/>
          <w:sz w:val="56"/>
          <w:szCs w:val="56"/>
        </w:rPr>
      </w:pPr>
      <w:r>
        <w:rPr>
          <w:rFonts w:hint="eastAsia"/>
          <w:color w:val="auto"/>
          <w:sz w:val="56"/>
          <w:szCs w:val="56"/>
        </w:rPr>
        <w:t>目录</w:t>
      </w:r>
    </w:p>
    <w:p>
      <w:pPr>
        <w:pStyle w:val="12"/>
        <w:spacing w:line="520" w:lineRule="exact"/>
        <w:rPr>
          <w:rFonts w:ascii="仿宋_GB2312" w:hAnsi="仿宋_GB2312" w:cs="仿宋_GB2312"/>
          <w:b/>
          <w:color w:val="auto"/>
          <w:sz w:val="28"/>
          <w:szCs w:val="28"/>
        </w:rPr>
      </w:pPr>
      <w:r>
        <w:rPr>
          <w:rFonts w:hint="eastAsia"/>
          <w:b/>
          <w:color w:val="auto"/>
          <w:sz w:val="28"/>
          <w:szCs w:val="28"/>
        </w:rPr>
        <w:t>第一部分</w:t>
      </w:r>
      <w:r>
        <w:rPr>
          <w:rFonts w:hint="eastAsia"/>
          <w:b/>
          <w:color w:val="auto"/>
          <w:sz w:val="28"/>
          <w:szCs w:val="28"/>
          <w:lang w:val="en-US" w:eastAsia="zh-CN"/>
        </w:rPr>
        <w:t xml:space="preserve">  </w:t>
      </w:r>
      <w:r>
        <w:rPr>
          <w:rFonts w:hint="eastAsia"/>
          <w:b/>
          <w:color w:val="auto"/>
          <w:sz w:val="28"/>
          <w:szCs w:val="28"/>
        </w:rPr>
        <w:t>单位概况</w:t>
      </w:r>
    </w:p>
    <w:p>
      <w:pPr>
        <w:pStyle w:val="12"/>
        <w:spacing w:line="52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一、部门职责</w:t>
      </w:r>
    </w:p>
    <w:p>
      <w:pPr>
        <w:pStyle w:val="12"/>
        <w:spacing w:line="52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二、机构设置</w:t>
      </w:r>
    </w:p>
    <w:p>
      <w:pPr>
        <w:pStyle w:val="12"/>
        <w:spacing w:line="520" w:lineRule="exact"/>
        <w:rPr>
          <w:rFonts w:ascii="仿宋_GB2312" w:hAnsi="仿宋_GB2312" w:cs="仿宋_GB2312"/>
          <w:b/>
          <w:color w:val="auto"/>
          <w:sz w:val="28"/>
          <w:szCs w:val="28"/>
        </w:rPr>
      </w:pPr>
      <w:r>
        <w:rPr>
          <w:rFonts w:hint="eastAsia" w:hAnsi="仿宋_GB2312"/>
          <w:b/>
          <w:color w:val="auto"/>
          <w:sz w:val="28"/>
          <w:szCs w:val="28"/>
        </w:rPr>
        <w:t>第二部分</w:t>
      </w:r>
      <w:r>
        <w:rPr>
          <w:rFonts w:hint="eastAsia" w:hAnsi="仿宋_GB2312"/>
          <w:b/>
          <w:color w:val="auto"/>
          <w:sz w:val="28"/>
          <w:szCs w:val="28"/>
          <w:lang w:val="en-US" w:eastAsia="zh-CN"/>
        </w:rPr>
        <w:t xml:space="preserve">  </w:t>
      </w:r>
      <w:r>
        <w:rPr>
          <w:rFonts w:hAnsi="仿宋_GB2312"/>
          <w:b/>
          <w:color w:val="auto"/>
          <w:sz w:val="28"/>
          <w:szCs w:val="28"/>
        </w:rPr>
        <w:t>2019</w:t>
      </w:r>
      <w:r>
        <w:rPr>
          <w:rFonts w:hint="eastAsia" w:hAnsi="仿宋_GB2312"/>
          <w:b/>
          <w:color w:val="auto"/>
          <w:sz w:val="28"/>
          <w:szCs w:val="28"/>
        </w:rPr>
        <w:t>年度部门决算表</w:t>
      </w:r>
    </w:p>
    <w:p>
      <w:pPr>
        <w:pStyle w:val="12"/>
        <w:spacing w:line="52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一、收入支出决算总表</w:t>
      </w:r>
    </w:p>
    <w:p>
      <w:pPr>
        <w:pStyle w:val="12"/>
        <w:spacing w:line="52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二、收入决算表</w:t>
      </w:r>
    </w:p>
    <w:p>
      <w:pPr>
        <w:pStyle w:val="12"/>
        <w:spacing w:line="52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三、支出决算表</w:t>
      </w:r>
    </w:p>
    <w:p>
      <w:pPr>
        <w:pStyle w:val="12"/>
        <w:spacing w:line="52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四、财政拨款收入支出决算总表</w:t>
      </w:r>
    </w:p>
    <w:p>
      <w:pPr>
        <w:pStyle w:val="12"/>
        <w:spacing w:line="52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五、一般公共预算财政拨款支出决算表</w:t>
      </w:r>
    </w:p>
    <w:p>
      <w:pPr>
        <w:pStyle w:val="12"/>
        <w:spacing w:line="52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六、一般公共预算财政拨款基本支出决算表</w:t>
      </w:r>
    </w:p>
    <w:p>
      <w:pPr>
        <w:pStyle w:val="12"/>
        <w:spacing w:line="52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七、一般公共预算财政拨款“三公”经费支出决算表</w:t>
      </w:r>
    </w:p>
    <w:p>
      <w:pPr>
        <w:pStyle w:val="12"/>
        <w:spacing w:line="52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八、政府性基金预算财政拨款收入支出决算表</w:t>
      </w:r>
    </w:p>
    <w:p>
      <w:pPr>
        <w:pStyle w:val="12"/>
        <w:spacing w:line="520" w:lineRule="exact"/>
        <w:rPr>
          <w:rFonts w:ascii="仿宋_GB2312" w:hAnsi="仿宋_GB2312" w:cs="仿宋_GB2312"/>
          <w:b/>
          <w:color w:val="auto"/>
          <w:sz w:val="28"/>
          <w:szCs w:val="28"/>
        </w:rPr>
      </w:pPr>
      <w:r>
        <w:rPr>
          <w:rFonts w:hint="eastAsia" w:hAnsi="仿宋_GB2312"/>
          <w:b/>
          <w:color w:val="auto"/>
          <w:sz w:val="28"/>
          <w:szCs w:val="28"/>
        </w:rPr>
        <w:t>第三部分</w:t>
      </w:r>
      <w:r>
        <w:rPr>
          <w:rFonts w:hint="eastAsia" w:hAnsi="仿宋_GB2312"/>
          <w:b/>
          <w:color w:val="auto"/>
          <w:sz w:val="28"/>
          <w:szCs w:val="28"/>
          <w:lang w:val="en-US" w:eastAsia="zh-CN"/>
        </w:rPr>
        <w:t xml:space="preserve">  </w:t>
      </w:r>
      <w:r>
        <w:rPr>
          <w:rFonts w:hAnsi="仿宋_GB2312"/>
          <w:b/>
          <w:color w:val="auto"/>
          <w:sz w:val="28"/>
          <w:szCs w:val="28"/>
        </w:rPr>
        <w:t>2019</w:t>
      </w:r>
      <w:r>
        <w:rPr>
          <w:rFonts w:hint="eastAsia" w:hAnsi="仿宋_GB2312"/>
          <w:b/>
          <w:color w:val="auto"/>
          <w:sz w:val="28"/>
          <w:szCs w:val="28"/>
        </w:rPr>
        <w:t>年度部门决算情况说明</w:t>
      </w:r>
    </w:p>
    <w:p>
      <w:pPr>
        <w:pStyle w:val="12"/>
        <w:spacing w:line="52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一、收入支出决算总体情况说明</w:t>
      </w:r>
    </w:p>
    <w:p>
      <w:pPr>
        <w:spacing w:line="520" w:lineRule="exact"/>
        <w:ind w:firstLine="700" w:firstLineChars="250"/>
        <w:jc w:val="left"/>
        <w:rPr>
          <w:rFonts w:ascii="仿宋_GB2312" w:hAnsi="仿宋_GB2312" w:cs="仿宋_GB2312"/>
          <w:color w:val="auto"/>
          <w:sz w:val="28"/>
          <w:szCs w:val="28"/>
        </w:rPr>
      </w:pPr>
      <w:r>
        <w:rPr>
          <w:rFonts w:ascii="仿宋_GB2312" w:hAnsi="仿宋_GB2312" w:cs="仿宋_GB2312"/>
          <w:color w:val="auto"/>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八</w:t>
      </w:r>
      <w:r>
        <w:rPr>
          <w:rFonts w:ascii="仿宋_GB2312" w:hAnsi="仿宋_GB2312" w:cs="仿宋_GB2312"/>
          <w:color w:val="auto"/>
          <w:kern w:val="0"/>
          <w:sz w:val="28"/>
          <w:szCs w:val="28"/>
        </w:rPr>
        <w:t>、</w:t>
      </w:r>
      <w:r>
        <w:rPr>
          <w:rFonts w:hint="eastAsia" w:ascii="仿宋_GB2312" w:hAnsi="仿宋_GB2312" w:cs="仿宋_GB2312"/>
          <w:color w:val="auto"/>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九</w:t>
      </w:r>
      <w:r>
        <w:rPr>
          <w:rFonts w:ascii="仿宋_GB2312" w:hAnsi="仿宋_GB2312" w:cs="仿宋_GB2312"/>
          <w:color w:val="auto"/>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十</w:t>
      </w:r>
      <w:r>
        <w:rPr>
          <w:rFonts w:ascii="仿宋_GB2312" w:hAnsi="仿宋_GB2312" w:cs="仿宋_GB2312"/>
          <w:color w:val="auto"/>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auto"/>
          <w:kern w:val="0"/>
          <w:sz w:val="28"/>
          <w:szCs w:val="28"/>
        </w:rPr>
      </w:pPr>
      <w:r>
        <w:rPr>
          <w:rFonts w:ascii="黑体" w:hAnsi="黑体" w:eastAsia="黑体" w:cs="黑体"/>
          <w:b/>
          <w:color w:val="auto"/>
          <w:kern w:val="0"/>
          <w:sz w:val="28"/>
          <w:szCs w:val="28"/>
        </w:rPr>
        <w:t>第四部分名词解释</w:t>
      </w:r>
    </w:p>
    <w:p>
      <w:pPr>
        <w:spacing w:line="520" w:lineRule="exact"/>
        <w:jc w:val="left"/>
        <w:rPr>
          <w:rFonts w:ascii="黑体" w:hAnsi="黑体" w:eastAsia="黑体" w:cs="仿宋_GB2312"/>
          <w:b/>
          <w:color w:val="auto"/>
          <w:kern w:val="0"/>
          <w:sz w:val="28"/>
          <w:szCs w:val="28"/>
        </w:rPr>
      </w:pPr>
      <w:r>
        <w:rPr>
          <w:rFonts w:ascii="黑体" w:hAnsi="黑体" w:eastAsia="黑体" w:cs="黑体"/>
          <w:b/>
          <w:color w:val="auto"/>
          <w:kern w:val="0"/>
          <w:sz w:val="28"/>
          <w:szCs w:val="28"/>
        </w:rPr>
        <w:t>第五部分附件</w:t>
      </w: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rPr>
          <w:color w:val="auto"/>
          <w:sz w:val="72"/>
          <w:szCs w:val="72"/>
        </w:rPr>
      </w:pPr>
    </w:p>
    <w:p>
      <w:pPr>
        <w:pStyle w:val="12"/>
        <w:jc w:val="center"/>
        <w:rPr>
          <w:color w:val="auto"/>
          <w:sz w:val="84"/>
          <w:szCs w:val="84"/>
        </w:rPr>
      </w:pPr>
      <w:r>
        <w:rPr>
          <w:rFonts w:hint="eastAsia"/>
          <w:color w:val="auto"/>
          <w:sz w:val="84"/>
          <w:szCs w:val="84"/>
        </w:rPr>
        <w:t>第一部分</w:t>
      </w:r>
      <w:r>
        <w:rPr>
          <w:color w:val="auto"/>
          <w:sz w:val="84"/>
          <w:szCs w:val="84"/>
        </w:rPr>
        <w:t xml:space="preserve"> </w:t>
      </w:r>
    </w:p>
    <w:p>
      <w:pPr>
        <w:pStyle w:val="12"/>
        <w:jc w:val="center"/>
        <w:rPr>
          <w:color w:val="auto"/>
          <w:sz w:val="84"/>
          <w:szCs w:val="84"/>
        </w:rPr>
      </w:pPr>
    </w:p>
    <w:p>
      <w:pPr>
        <w:pStyle w:val="12"/>
        <w:jc w:val="center"/>
        <w:rPr>
          <w:rFonts w:hint="eastAsia"/>
          <w:color w:val="auto"/>
          <w:sz w:val="84"/>
          <w:szCs w:val="84"/>
          <w:lang w:eastAsia="zh-CN"/>
        </w:rPr>
      </w:pPr>
      <w:r>
        <w:rPr>
          <w:rFonts w:hint="eastAsia"/>
          <w:color w:val="auto"/>
          <w:sz w:val="84"/>
          <w:szCs w:val="84"/>
          <w:lang w:eastAsia="zh-CN"/>
        </w:rPr>
        <w:t>郴州广播电视大学</w:t>
      </w:r>
    </w:p>
    <w:p>
      <w:pPr>
        <w:pStyle w:val="12"/>
        <w:jc w:val="center"/>
        <w:rPr>
          <w:color w:val="auto"/>
          <w:sz w:val="84"/>
          <w:szCs w:val="84"/>
        </w:rPr>
      </w:pPr>
      <w:r>
        <w:rPr>
          <w:rFonts w:hint="eastAsia"/>
          <w:color w:val="auto"/>
          <w:sz w:val="84"/>
          <w:szCs w:val="84"/>
        </w:rPr>
        <w:t>单位概况</w:t>
      </w: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32"/>
          <w:szCs w:val="32"/>
        </w:rPr>
      </w:pPr>
    </w:p>
    <w:p>
      <w:pPr>
        <w:pStyle w:val="13"/>
        <w:numPr>
          <w:ilvl w:val="0"/>
          <w:numId w:val="0"/>
        </w:numPr>
        <w:ind w:firstLine="640" w:firstLineChars="200"/>
        <w:jc w:val="left"/>
        <w:rPr>
          <w:rFonts w:ascii="黑体" w:hAnsi="黑体" w:eastAsia="黑体"/>
          <w:color w:val="auto"/>
          <w:sz w:val="32"/>
          <w:szCs w:val="32"/>
        </w:rPr>
      </w:pPr>
      <w:r>
        <w:rPr>
          <w:rFonts w:hint="eastAsia" w:ascii="黑体" w:hAnsi="黑体" w:eastAsia="黑体"/>
          <w:color w:val="auto"/>
          <w:sz w:val="32"/>
          <w:szCs w:val="32"/>
          <w:lang w:eastAsia="zh-CN"/>
        </w:rPr>
        <w:t>一、</w:t>
      </w:r>
      <w:r>
        <w:rPr>
          <w:rFonts w:ascii="黑体" w:hAnsi="黑体" w:eastAsia="黑体"/>
          <w:color w:val="auto"/>
          <w:sz w:val="32"/>
          <w:szCs w:val="32"/>
        </w:rPr>
        <w:t>部门职责</w:t>
      </w:r>
    </w:p>
    <w:p>
      <w:pPr>
        <w:ind w:firstLine="840" w:firstLineChars="300"/>
        <w:jc w:val="left"/>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我校创办于1979年，是郴州市政府主办，郴州市教育局主管，充分利用广播、电视、文字和音像教材、计算机课件及网络等多种媒体进行现代远程教育的新型高等学校，也是湖南广播电视大学的一所分校。主要职能是利用广播电视、计算机网络等现代传媒技术，运用多种教学媒体面向全市开展远程教育，为社会成员提供高等学历教育及职业技术教育、岗位培训、专业培训、继续教育等教育服务；负责全市社区教育工作的统筹、协调；组织开展或协助承办中小学教师市级集中培训和远程培训的组织与管理，承接市教育局教师培训学分与校本研修管理与指导、教师资格认定与教师资格定期注册。</w:t>
      </w:r>
    </w:p>
    <w:p>
      <w:pPr>
        <w:widowControl/>
        <w:spacing w:line="600" w:lineRule="exact"/>
        <w:ind w:firstLine="640" w:firstLineChars="200"/>
        <w:rPr>
          <w:rFonts w:ascii="黑体" w:hAnsi="黑体" w:eastAsia="黑体"/>
          <w:bCs/>
          <w:color w:val="auto"/>
          <w:kern w:val="0"/>
          <w:sz w:val="32"/>
          <w:szCs w:val="32"/>
        </w:rPr>
      </w:pPr>
      <w:r>
        <w:rPr>
          <w:rFonts w:hint="eastAsia" w:ascii="黑体" w:hAnsi="黑体" w:eastAsia="黑体"/>
          <w:bCs/>
          <w:color w:val="auto"/>
          <w:kern w:val="0"/>
          <w:sz w:val="32"/>
          <w:szCs w:val="32"/>
        </w:rPr>
        <w:t>二、机构设置及决算单位构成</w:t>
      </w:r>
    </w:p>
    <w:p>
      <w:pPr>
        <w:pStyle w:val="15"/>
        <w:spacing w:line="580" w:lineRule="exact"/>
        <w:ind w:firstLine="602"/>
        <w:rPr>
          <w:rFonts w:hint="eastAsia" w:ascii="仿宋" w:hAnsi="仿宋" w:eastAsia="仿宋" w:cs="仿宋"/>
          <w:color w:val="auto"/>
          <w:kern w:val="0"/>
          <w:sz w:val="28"/>
          <w:szCs w:val="28"/>
          <w:lang w:val="en-US" w:eastAsia="zh-CN" w:bidi="ar-SA"/>
        </w:rPr>
      </w:pPr>
      <w:r>
        <w:rPr>
          <w:rFonts w:hint="eastAsia" w:ascii="仿宋" w:hAnsi="仿宋" w:eastAsia="仿宋" w:cs="仿宋"/>
          <w:b/>
          <w:bCs w:val="0"/>
          <w:color w:val="auto"/>
          <w:kern w:val="0"/>
          <w:sz w:val="28"/>
          <w:szCs w:val="28"/>
        </w:rPr>
        <w:t>（一）内设机构设置。</w:t>
      </w:r>
      <w:r>
        <w:rPr>
          <w:rFonts w:hint="eastAsia" w:ascii="仿宋" w:hAnsi="仿宋" w:eastAsia="仿宋" w:cs="仿宋"/>
          <w:color w:val="auto"/>
          <w:kern w:val="0"/>
          <w:sz w:val="28"/>
          <w:szCs w:val="28"/>
          <w:lang w:val="en-US" w:eastAsia="zh-CN" w:bidi="ar-SA"/>
        </w:rPr>
        <w:t>我校属于全额拨款事业单位，有南北两个校区，下设办公室、开放教育学院、招生就业指导办公室、教务处、继续教育学院、社区教育办公室、远程教育学院和后勤处8个部门。</w:t>
      </w:r>
      <w:r>
        <w:rPr>
          <w:rFonts w:hint="eastAsia" w:ascii="仿宋" w:hAnsi="仿宋" w:eastAsia="仿宋" w:cs="仿宋"/>
          <w:color w:val="auto"/>
          <w:kern w:val="0"/>
          <w:sz w:val="28"/>
          <w:szCs w:val="28"/>
        </w:rPr>
        <w:t>2019年年底在职职工65人，退休职工52人，临聘员工20人。在职职工中，</w:t>
      </w:r>
      <w:r>
        <w:rPr>
          <w:rFonts w:hint="eastAsia" w:ascii="仿宋" w:hAnsi="仿宋" w:eastAsia="仿宋" w:cs="仿宋"/>
          <w:color w:val="auto"/>
          <w:kern w:val="0"/>
          <w:sz w:val="28"/>
          <w:szCs w:val="28"/>
          <w:lang w:eastAsia="zh-CN"/>
        </w:rPr>
        <w:t>专业技术人员</w:t>
      </w:r>
      <w:r>
        <w:rPr>
          <w:rFonts w:hint="eastAsia" w:ascii="仿宋" w:hAnsi="仿宋" w:eastAsia="仿宋" w:cs="仿宋"/>
          <w:color w:val="auto"/>
          <w:kern w:val="0"/>
          <w:sz w:val="28"/>
          <w:szCs w:val="28"/>
        </w:rPr>
        <w:t>副高及以上职称11人，中级职称21人，初级职称14人，其他2人</w:t>
      </w:r>
      <w:r>
        <w:rPr>
          <w:rFonts w:hint="eastAsia" w:ascii="仿宋" w:hAnsi="仿宋" w:eastAsia="仿宋" w:cs="仿宋"/>
          <w:color w:val="auto"/>
          <w:kern w:val="0"/>
          <w:sz w:val="28"/>
          <w:szCs w:val="28"/>
          <w:lang w:val="en-US" w:eastAsia="zh-CN"/>
        </w:rPr>
        <w:t>。</w:t>
      </w:r>
    </w:p>
    <w:p>
      <w:pPr>
        <w:widowControl/>
        <w:spacing w:line="600" w:lineRule="exact"/>
        <w:ind w:firstLine="562"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b/>
          <w:bCs w:val="0"/>
          <w:color w:val="auto"/>
          <w:kern w:val="0"/>
          <w:sz w:val="28"/>
          <w:szCs w:val="28"/>
        </w:rPr>
        <w:t>（二）决算单位构成。</w:t>
      </w:r>
      <w:r>
        <w:rPr>
          <w:rFonts w:hint="eastAsia" w:ascii="仿宋" w:hAnsi="仿宋" w:eastAsia="仿宋" w:cs="仿宋"/>
          <w:bCs/>
          <w:color w:val="auto"/>
          <w:kern w:val="0"/>
          <w:sz w:val="28"/>
          <w:szCs w:val="28"/>
          <w:lang w:eastAsia="zh-CN"/>
        </w:rPr>
        <w:t>我校无二级预算单位，因此</w:t>
      </w:r>
      <w:r>
        <w:rPr>
          <w:rFonts w:hint="eastAsia" w:ascii="仿宋" w:hAnsi="仿宋" w:eastAsia="仿宋" w:cs="仿宋"/>
          <w:color w:val="auto"/>
          <w:kern w:val="0"/>
          <w:sz w:val="28"/>
          <w:szCs w:val="28"/>
          <w:lang w:val="en-US" w:eastAsia="zh-CN" w:bidi="ar-SA"/>
        </w:rPr>
        <w:t>郴州广播电视大学2019年部门决算即为郴州广播电视大学本单位2019年部门决算。</w:t>
      </w:r>
    </w:p>
    <w:p>
      <w:pPr>
        <w:jc w:val="left"/>
        <w:rPr>
          <w:rFonts w:ascii="仿宋_GB2312" w:eastAsia="仿宋_GB2312" w:hAnsiTheme="minorEastAsia"/>
          <w:color w:val="auto"/>
          <w:sz w:val="28"/>
          <w:szCs w:val="32"/>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r>
        <w:rPr>
          <w:rFonts w:hint="eastAsia"/>
          <w:color w:val="auto"/>
          <w:sz w:val="72"/>
          <w:szCs w:val="72"/>
        </w:rPr>
        <w:t>第二部分</w:t>
      </w:r>
    </w:p>
    <w:p>
      <w:pPr>
        <w:jc w:val="center"/>
        <w:rPr>
          <w:color w:val="auto"/>
          <w:sz w:val="72"/>
          <w:szCs w:val="72"/>
        </w:rPr>
      </w:pPr>
    </w:p>
    <w:p>
      <w:pPr>
        <w:jc w:val="center"/>
        <w:rPr>
          <w:color w:val="auto"/>
          <w:sz w:val="72"/>
          <w:szCs w:val="72"/>
        </w:rPr>
      </w:pPr>
      <w:r>
        <w:rPr>
          <w:rFonts w:hint="eastAsia"/>
          <w:color w:val="auto"/>
          <w:sz w:val="72"/>
          <w:szCs w:val="72"/>
        </w:rPr>
        <w:t>部门决算表</w:t>
      </w: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left"/>
        <w:rPr>
          <w:color w:val="auto"/>
          <w:sz w:val="32"/>
          <w:szCs w:val="32"/>
        </w:rPr>
      </w:pPr>
    </w:p>
    <w:p>
      <w:pPr>
        <w:jc w:val="left"/>
        <w:rPr>
          <w:rFonts w:asciiTheme="minorEastAsia" w:hAnsiTheme="minorEastAsia"/>
          <w:color w:val="auto"/>
          <w:sz w:val="32"/>
          <w:szCs w:val="32"/>
        </w:rPr>
        <w:sectPr>
          <w:footerReference r:id="rId3" w:type="default"/>
          <w:pgSz w:w="11906" w:h="16838"/>
          <w:pgMar w:top="1440" w:right="1800" w:bottom="1440" w:left="1800" w:header="851" w:footer="992" w:gutter="0"/>
          <w:cols w:space="425" w:num="1"/>
          <w:docGrid w:type="lines" w:linePitch="312" w:charSpace="0"/>
        </w:sectPr>
      </w:pPr>
    </w:p>
    <w:p>
      <w:pPr>
        <w:pStyle w:val="12"/>
        <w:rPr>
          <w:color w:val="auto"/>
          <w:sz w:val="72"/>
          <w:szCs w:val="72"/>
        </w:rPr>
      </w:pPr>
    </w:p>
    <w:p>
      <w:pPr>
        <w:pStyle w:val="12"/>
        <w:rPr>
          <w:color w:val="auto"/>
          <w:sz w:val="72"/>
          <w:szCs w:val="72"/>
        </w:rPr>
      </w:pPr>
    </w:p>
    <w:p>
      <w:pPr>
        <w:pStyle w:val="12"/>
        <w:rPr>
          <w:color w:val="auto"/>
          <w:sz w:val="72"/>
          <w:szCs w:val="72"/>
        </w:rPr>
      </w:pPr>
    </w:p>
    <w:p>
      <w:pPr>
        <w:pStyle w:val="12"/>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r>
        <w:rPr>
          <w:rFonts w:hint="eastAsia"/>
          <w:color w:val="auto"/>
          <w:sz w:val="72"/>
          <w:szCs w:val="72"/>
        </w:rPr>
        <w:t>第三部分</w:t>
      </w:r>
    </w:p>
    <w:p>
      <w:pPr>
        <w:pStyle w:val="12"/>
        <w:jc w:val="center"/>
        <w:rPr>
          <w:color w:val="auto"/>
          <w:sz w:val="70"/>
          <w:szCs w:val="70"/>
        </w:rPr>
      </w:pPr>
    </w:p>
    <w:p>
      <w:pPr>
        <w:pStyle w:val="12"/>
        <w:jc w:val="center"/>
        <w:rPr>
          <w:color w:val="auto"/>
          <w:sz w:val="70"/>
          <w:szCs w:val="70"/>
        </w:rPr>
      </w:pPr>
      <w:r>
        <w:rPr>
          <w:color w:val="auto"/>
          <w:sz w:val="70"/>
          <w:szCs w:val="70"/>
        </w:rPr>
        <w:t>2019</w:t>
      </w:r>
      <w:r>
        <w:rPr>
          <w:rFonts w:hint="eastAsia"/>
          <w:color w:val="auto"/>
          <w:sz w:val="70"/>
          <w:szCs w:val="70"/>
        </w:rPr>
        <w:t>年度部门决算情况说明</w:t>
      </w:r>
    </w:p>
    <w:p>
      <w:pPr>
        <w:widowControl/>
        <w:jc w:val="left"/>
        <w:rPr>
          <w:rFonts w:ascii="黑体" w:eastAsia="黑体" w:cs="黑体"/>
          <w:color w:val="auto"/>
          <w:kern w:val="0"/>
          <w:sz w:val="70"/>
          <w:szCs w:val="70"/>
        </w:rPr>
      </w:pPr>
      <w:r>
        <w:rPr>
          <w:color w:val="auto"/>
          <w:sz w:val="70"/>
          <w:szCs w:val="70"/>
        </w:rPr>
        <w:br w:type="page"/>
      </w:r>
    </w:p>
    <w:p>
      <w:pPr>
        <w:pStyle w:val="12"/>
        <w:rPr>
          <w:rFonts w:hAnsi="黑体"/>
          <w:b/>
          <w:color w:val="auto"/>
          <w:sz w:val="32"/>
          <w:szCs w:val="32"/>
        </w:rPr>
      </w:pPr>
      <w:r>
        <w:rPr>
          <w:rFonts w:hint="eastAsia" w:hAnsi="黑体"/>
          <w:b/>
          <w:color w:val="auto"/>
          <w:sz w:val="32"/>
          <w:szCs w:val="32"/>
        </w:rPr>
        <w:t>一、收入支出决算总体情况说明</w:t>
      </w:r>
    </w:p>
    <w:p>
      <w:pPr>
        <w:pStyle w:val="12"/>
        <w:ind w:firstLine="560" w:firstLineChars="200"/>
        <w:rPr>
          <w:rFonts w:hint="default" w:ascii="仿宋" w:hAnsi="仿宋" w:eastAsia="仿宋" w:cstheme="minorBidi"/>
          <w:color w:val="auto"/>
          <w:kern w:val="2"/>
          <w:sz w:val="28"/>
          <w:szCs w:val="21"/>
          <w:lang w:val="en-US" w:eastAsia="zh-CN" w:bidi="ar-SA"/>
        </w:rPr>
      </w:pPr>
      <w:r>
        <w:rPr>
          <w:rFonts w:hint="eastAsia" w:ascii="仿宋" w:hAnsi="仿宋" w:eastAsia="仿宋" w:cstheme="minorBidi"/>
          <w:color w:val="auto"/>
          <w:kern w:val="2"/>
          <w:sz w:val="28"/>
          <w:szCs w:val="21"/>
          <w:lang w:val="en-US" w:eastAsia="zh-CN" w:bidi="ar-SA"/>
        </w:rPr>
        <w:t>2019年度收、支总计4,898.21万元。与2018年相比，增加359.32万元，增长7.92%。</w:t>
      </w:r>
      <w:r>
        <w:rPr>
          <w:rFonts w:hint="eastAsia" w:ascii="仿宋" w:hAnsi="仿宋" w:eastAsia="仿宋" w:cstheme="minorBidi"/>
          <w:b/>
          <w:bCs/>
          <w:color w:val="auto"/>
          <w:kern w:val="2"/>
          <w:sz w:val="28"/>
          <w:szCs w:val="21"/>
          <w:lang w:val="en-US" w:eastAsia="zh-CN" w:bidi="ar-SA"/>
        </w:rPr>
        <w:t>主要是因为2</w:t>
      </w:r>
      <w:r>
        <w:rPr>
          <w:rFonts w:hint="eastAsia" w:ascii="仿宋" w:hAnsi="仿宋" w:eastAsia="仿宋" w:cstheme="minorBidi"/>
          <w:b w:val="0"/>
          <w:bCs w:val="0"/>
          <w:color w:val="auto"/>
          <w:kern w:val="2"/>
          <w:sz w:val="28"/>
          <w:szCs w:val="21"/>
          <w:lang w:val="en-US" w:eastAsia="zh-CN" w:bidi="ar-SA"/>
        </w:rPr>
        <w:t>018年的大部分教师培训</w:t>
      </w:r>
      <w:r>
        <w:rPr>
          <w:rFonts w:hint="eastAsia" w:ascii="仿宋" w:hAnsi="仿宋" w:eastAsia="仿宋" w:cstheme="minorBidi"/>
          <w:color w:val="auto"/>
          <w:kern w:val="2"/>
          <w:sz w:val="28"/>
          <w:szCs w:val="21"/>
          <w:lang w:val="en-US" w:eastAsia="zh-CN" w:bidi="ar-SA"/>
        </w:rPr>
        <w:t>在2019年年初才报账形成支出，2018年的多数工程项目都在2019年竣工结算付款。</w:t>
      </w:r>
    </w:p>
    <w:p>
      <w:pPr>
        <w:pStyle w:val="12"/>
        <w:ind w:firstLine="640" w:firstLineChars="200"/>
        <w:rPr>
          <w:rFonts w:hAnsi="黑体"/>
          <w:b/>
          <w:color w:val="auto"/>
          <w:sz w:val="32"/>
          <w:szCs w:val="32"/>
        </w:rPr>
      </w:pPr>
      <w:r>
        <w:rPr>
          <w:rFonts w:hint="eastAsia" w:hAnsi="黑体"/>
          <w:b/>
          <w:color w:val="auto"/>
          <w:sz w:val="32"/>
          <w:szCs w:val="32"/>
        </w:rPr>
        <w:t>二、收入决算情况说明</w:t>
      </w:r>
    </w:p>
    <w:p>
      <w:pPr>
        <w:pStyle w:val="12"/>
        <w:ind w:firstLine="560" w:firstLineChars="200"/>
        <w:rPr>
          <w:rFonts w:hint="eastAsia" w:ascii="仿宋" w:hAnsi="仿宋" w:eastAsia="仿宋" w:cstheme="minorBidi"/>
          <w:color w:val="auto"/>
          <w:kern w:val="2"/>
          <w:sz w:val="28"/>
          <w:szCs w:val="21"/>
          <w:lang w:val="en-US" w:eastAsia="zh-CN" w:bidi="ar-SA"/>
        </w:rPr>
      </w:pPr>
      <w:r>
        <w:rPr>
          <w:rFonts w:hint="eastAsia" w:ascii="仿宋" w:hAnsi="仿宋" w:eastAsia="仿宋" w:cstheme="minorBidi"/>
          <w:color w:val="auto"/>
          <w:kern w:val="2"/>
          <w:sz w:val="28"/>
          <w:szCs w:val="21"/>
          <w:lang w:val="en-US" w:eastAsia="zh-CN" w:bidi="ar-SA"/>
        </w:rPr>
        <w:t>本年收入合计4,154.10万元，其中：财政拨款收入3,121.83万元，占75.15%；事业收入939.79万元，占22.62%；经营收入86.24万元，占2.08%；其他收入6.23万元，占0.15%。</w:t>
      </w:r>
    </w:p>
    <w:p>
      <w:pPr>
        <w:pStyle w:val="12"/>
        <w:rPr>
          <w:rFonts w:hAnsi="黑体"/>
          <w:b/>
          <w:color w:val="auto"/>
          <w:sz w:val="32"/>
          <w:szCs w:val="32"/>
        </w:rPr>
      </w:pPr>
      <w:r>
        <w:rPr>
          <w:rFonts w:hint="eastAsia" w:hAnsi="黑体"/>
          <w:b/>
          <w:color w:val="auto"/>
          <w:sz w:val="32"/>
          <w:szCs w:val="32"/>
        </w:rPr>
        <w:t>三、支出决算情况说明</w:t>
      </w:r>
    </w:p>
    <w:p>
      <w:pPr>
        <w:pStyle w:val="12"/>
        <w:ind w:firstLine="560" w:firstLineChars="200"/>
        <w:rPr>
          <w:rFonts w:hint="eastAsia" w:ascii="仿宋" w:hAnsi="仿宋" w:eastAsia="仿宋" w:cstheme="minorBidi"/>
          <w:color w:val="auto"/>
          <w:kern w:val="2"/>
          <w:sz w:val="28"/>
          <w:szCs w:val="21"/>
          <w:lang w:val="en-US" w:eastAsia="zh-CN" w:bidi="ar-SA"/>
        </w:rPr>
      </w:pPr>
      <w:r>
        <w:rPr>
          <w:rFonts w:hint="eastAsia" w:ascii="仿宋" w:hAnsi="仿宋" w:eastAsia="仿宋" w:cstheme="minorBidi"/>
          <w:color w:val="auto"/>
          <w:kern w:val="2"/>
          <w:sz w:val="28"/>
          <w:szCs w:val="21"/>
          <w:lang w:val="en-US" w:eastAsia="zh-CN" w:bidi="ar-SA"/>
        </w:rPr>
        <w:t>本年支出合计4，565.87万元，其中：基本支出1，793.05万元，占39.27%；项目支出2,738.90万元，占59.99%；经营支出33.92万元，占0.74%。</w:t>
      </w:r>
    </w:p>
    <w:p>
      <w:pPr>
        <w:pStyle w:val="12"/>
        <w:rPr>
          <w:rFonts w:hint="eastAsia" w:hAnsi="黑体"/>
          <w:b/>
          <w:color w:val="auto"/>
          <w:sz w:val="32"/>
          <w:szCs w:val="32"/>
        </w:rPr>
      </w:pPr>
      <w:r>
        <w:rPr>
          <w:rFonts w:hint="eastAsia" w:hAnsi="黑体"/>
          <w:b/>
          <w:color w:val="auto"/>
          <w:sz w:val="32"/>
          <w:szCs w:val="32"/>
        </w:rPr>
        <w:t>四、财政拨款收入支出决算总体情况说明</w:t>
      </w:r>
    </w:p>
    <w:p>
      <w:pPr>
        <w:pStyle w:val="12"/>
        <w:ind w:firstLine="560" w:firstLineChars="200"/>
        <w:rPr>
          <w:rFonts w:hint="default" w:ascii="仿宋" w:hAnsi="仿宋" w:eastAsia="仿宋" w:cstheme="minorBidi"/>
          <w:color w:val="auto"/>
          <w:kern w:val="2"/>
          <w:sz w:val="28"/>
          <w:szCs w:val="21"/>
          <w:lang w:val="en-US" w:eastAsia="zh-CN" w:bidi="ar-SA"/>
        </w:rPr>
      </w:pPr>
      <w:r>
        <w:rPr>
          <w:rFonts w:hint="eastAsia" w:ascii="仿宋" w:hAnsi="仿宋" w:eastAsia="仿宋" w:cstheme="minorBidi"/>
          <w:color w:val="auto"/>
          <w:kern w:val="2"/>
          <w:sz w:val="28"/>
          <w:szCs w:val="21"/>
          <w:lang w:val="en-US" w:eastAsia="zh-CN" w:bidi="ar-SA"/>
        </w:rPr>
        <w:t>2019年度财政拨款收、支总计3,559.29万元，与2018年相比，增加864.83元,增长32.10%，</w:t>
      </w:r>
      <w:r>
        <w:rPr>
          <w:rFonts w:hint="eastAsia" w:ascii="仿宋" w:hAnsi="仿宋" w:eastAsia="仿宋" w:cstheme="minorBidi"/>
          <w:b/>
          <w:bCs/>
          <w:color w:val="auto"/>
          <w:kern w:val="2"/>
          <w:sz w:val="28"/>
          <w:szCs w:val="21"/>
          <w:lang w:val="en-US" w:eastAsia="zh-CN" w:bidi="ar-SA"/>
        </w:rPr>
        <w:t>主要是因为本年拨付校园维修改造项目资金较多，并收到财政返回部分上年收回资金用于相关项目开支。</w:t>
      </w:r>
    </w:p>
    <w:p>
      <w:pPr>
        <w:pStyle w:val="12"/>
        <w:rPr>
          <w:rFonts w:hAnsi="黑体"/>
          <w:b/>
          <w:color w:val="auto"/>
          <w:sz w:val="32"/>
          <w:szCs w:val="32"/>
        </w:rPr>
      </w:pPr>
      <w:r>
        <w:rPr>
          <w:rFonts w:hint="eastAsia" w:hAnsi="黑体"/>
          <w:b/>
          <w:color w:val="auto"/>
          <w:sz w:val="32"/>
          <w:szCs w:val="32"/>
        </w:rPr>
        <w:t>五、一般公共预算财政拨款支出决算情况说明</w:t>
      </w:r>
    </w:p>
    <w:p>
      <w:pPr>
        <w:pStyle w:val="12"/>
        <w:ind w:firstLine="320" w:firstLineChars="10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（一）财政拨款支出决算总体情况</w:t>
      </w:r>
    </w:p>
    <w:p>
      <w:pPr>
        <w:pStyle w:val="12"/>
        <w:ind w:firstLine="560" w:firstLineChars="200"/>
        <w:rPr>
          <w:rFonts w:hint="eastAsia" w:ascii="仿宋" w:hAnsi="仿宋" w:eastAsia="仿宋" w:cstheme="minorBidi"/>
          <w:b/>
          <w:bCs/>
          <w:color w:val="auto"/>
          <w:kern w:val="2"/>
          <w:sz w:val="28"/>
          <w:szCs w:val="21"/>
          <w:lang w:val="en-US" w:eastAsia="zh-CN" w:bidi="ar-SA"/>
        </w:rPr>
      </w:pPr>
      <w:r>
        <w:rPr>
          <w:rFonts w:hint="eastAsia" w:ascii="仿宋" w:hAnsi="仿宋" w:eastAsia="仿宋" w:cstheme="minorBidi"/>
          <w:color w:val="auto"/>
          <w:kern w:val="2"/>
          <w:sz w:val="28"/>
          <w:szCs w:val="21"/>
          <w:lang w:val="en-US" w:eastAsia="zh-CN" w:bidi="ar-SA"/>
        </w:rPr>
        <w:t>2019年度财政拨款支出3,281.62万元，占本年支出合计的71.87%，与2018年相比，财政拨款支出增加1,411.17万元，增长75.45%。</w:t>
      </w:r>
    </w:p>
    <w:p>
      <w:pPr>
        <w:pStyle w:val="12"/>
        <w:ind w:firstLine="480" w:firstLineChars="15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（二）财政拨款支出决算结构情况</w:t>
      </w:r>
    </w:p>
    <w:p>
      <w:pPr>
        <w:pStyle w:val="12"/>
        <w:ind w:firstLine="560" w:firstLineChars="200"/>
        <w:rPr>
          <w:rFonts w:hint="eastAsia" w:ascii="仿宋" w:hAnsi="仿宋" w:eastAsia="仿宋" w:cstheme="minorBidi"/>
          <w:color w:val="auto"/>
          <w:kern w:val="2"/>
          <w:sz w:val="28"/>
          <w:szCs w:val="21"/>
          <w:lang w:val="en-US" w:eastAsia="zh-CN" w:bidi="ar-SA"/>
        </w:rPr>
      </w:pPr>
      <w:r>
        <w:rPr>
          <w:rFonts w:hint="eastAsia" w:ascii="仿宋" w:hAnsi="仿宋" w:eastAsia="仿宋" w:cstheme="minorBidi"/>
          <w:color w:val="auto"/>
          <w:kern w:val="2"/>
          <w:sz w:val="28"/>
          <w:szCs w:val="21"/>
          <w:lang w:val="en-US" w:eastAsia="zh-CN" w:bidi="ar-SA"/>
        </w:rPr>
        <w:t>2019年度财政拨款支出3,281.62万元，主要用于以下方面：教育（类）支出2,900.15万元，占88.38%；社会保障和就业支出299.49万元，占9.13%；卫生健康支出32.79万元，占1.00%；住房保障支出49.19万元，占1.50%。</w:t>
      </w:r>
    </w:p>
    <w:p>
      <w:pPr>
        <w:pStyle w:val="12"/>
        <w:ind w:firstLine="800" w:firstLineChars="25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（三）财政拨款支出决算具体情况</w:t>
      </w:r>
    </w:p>
    <w:p>
      <w:pPr>
        <w:pStyle w:val="12"/>
        <w:ind w:firstLine="560" w:firstLineChars="200"/>
        <w:rPr>
          <w:rFonts w:hint="eastAsia" w:ascii="仿宋" w:hAnsi="仿宋" w:eastAsia="仿宋" w:cstheme="minorBidi"/>
          <w:color w:val="auto"/>
          <w:kern w:val="2"/>
          <w:sz w:val="28"/>
          <w:szCs w:val="21"/>
          <w:lang w:val="en-US" w:eastAsia="zh-CN" w:bidi="ar-SA"/>
        </w:rPr>
      </w:pPr>
      <w:r>
        <w:rPr>
          <w:rFonts w:hint="eastAsia" w:ascii="仿宋" w:hAnsi="仿宋" w:eastAsia="仿宋" w:cstheme="minorBidi"/>
          <w:color w:val="auto"/>
          <w:kern w:val="2"/>
          <w:sz w:val="28"/>
          <w:szCs w:val="21"/>
          <w:lang w:val="en-US" w:eastAsia="zh-CN" w:bidi="ar-SA"/>
        </w:rPr>
        <w:t>2019年度财政拨款支出年初预算数为2,045.91万元，支出决算数为3,281.62万元，完成年初预算的160.40%，与年初预算安排的差额主要是增加了2019年的教师培训项目、足球项目、增人增资的追加预算及省厅下达的农民大学生职业培训补贴资金等。</w:t>
      </w:r>
      <w:r>
        <w:rPr>
          <w:rFonts w:hint="eastAsia" w:ascii="仿宋" w:hAnsi="仿宋" w:eastAsia="仿宋" w:cstheme="minorBidi"/>
          <w:color w:val="auto"/>
          <w:kern w:val="2"/>
          <w:sz w:val="28"/>
          <w:szCs w:val="21"/>
          <w:lang w:val="en-US" w:eastAsia="zh-CN" w:bidi="ar-SA"/>
        </w:rPr>
        <w:t>其中：</w:t>
      </w:r>
    </w:p>
    <w:p>
      <w:pPr>
        <w:pStyle w:val="12"/>
        <w:numPr>
          <w:ilvl w:val="0"/>
          <w:numId w:val="1"/>
        </w:numPr>
        <w:ind w:firstLine="560" w:firstLineChars="200"/>
        <w:rPr>
          <w:rFonts w:hint="eastAsia" w:ascii="仿宋" w:hAnsi="仿宋" w:eastAsia="仿宋" w:cstheme="minorBidi"/>
          <w:b w:val="0"/>
          <w:bCs w:val="0"/>
          <w:color w:val="auto"/>
          <w:kern w:val="2"/>
          <w:sz w:val="28"/>
          <w:szCs w:val="21"/>
          <w:lang w:val="en-US" w:eastAsia="zh-CN" w:bidi="ar-SA"/>
        </w:rPr>
      </w:pPr>
      <w:r>
        <w:rPr>
          <w:rFonts w:hint="eastAsia" w:ascii="仿宋" w:hAnsi="仿宋" w:eastAsia="仿宋" w:cstheme="minorBidi"/>
          <w:color w:val="auto"/>
          <w:kern w:val="2"/>
          <w:sz w:val="28"/>
          <w:szCs w:val="21"/>
          <w:lang w:val="en-US" w:eastAsia="zh-CN" w:bidi="ar-SA"/>
        </w:rPr>
        <w:t>教育支出年初预算为1,860.54万元，支出决算为2,900.15万元，完成年初预算的155.88%，决算数大于年初预算数的</w:t>
      </w:r>
      <w:r>
        <w:rPr>
          <w:rFonts w:hint="eastAsia" w:ascii="仿宋" w:hAnsi="仿宋" w:eastAsia="仿宋" w:cstheme="minorBidi"/>
          <w:b w:val="0"/>
          <w:bCs w:val="0"/>
          <w:color w:val="auto"/>
          <w:kern w:val="2"/>
          <w:sz w:val="28"/>
          <w:szCs w:val="21"/>
          <w:lang w:val="en-US" w:eastAsia="zh-CN" w:bidi="ar-SA"/>
        </w:rPr>
        <w:t>主要原因是盘活存量资金和上年结余资金的支出、教师培训项目和足球项目的支出及年中追加的增人增资预算安排的支出。</w:t>
      </w:r>
    </w:p>
    <w:p>
      <w:pPr>
        <w:pStyle w:val="12"/>
        <w:numPr>
          <w:ilvl w:val="0"/>
          <w:numId w:val="0"/>
        </w:numPr>
        <w:ind w:firstLine="560" w:firstLineChars="200"/>
        <w:rPr>
          <w:rFonts w:hint="eastAsia" w:ascii="仿宋" w:hAnsi="仿宋" w:eastAsia="仿宋" w:cstheme="minorBidi"/>
          <w:b w:val="0"/>
          <w:bCs w:val="0"/>
          <w:color w:val="auto"/>
          <w:kern w:val="2"/>
          <w:sz w:val="28"/>
          <w:szCs w:val="21"/>
          <w:lang w:val="en-US" w:eastAsia="zh-CN" w:bidi="ar-SA"/>
        </w:rPr>
      </w:pPr>
      <w:r>
        <w:rPr>
          <w:rFonts w:hint="eastAsia" w:ascii="仿宋" w:hAnsi="仿宋" w:eastAsia="仿宋" w:cstheme="minorBidi"/>
          <w:color w:val="auto"/>
          <w:kern w:val="2"/>
          <w:sz w:val="28"/>
          <w:szCs w:val="21"/>
          <w:lang w:val="en-US" w:eastAsia="zh-CN" w:bidi="ar-SA"/>
        </w:rPr>
        <w:t>二、社会保障和就业支出年初预算为103.39万元，支出决算为299.49万元，完成年初预算的289.67%，</w:t>
      </w:r>
      <w:r>
        <w:rPr>
          <w:rFonts w:hint="eastAsia" w:ascii="仿宋" w:hAnsi="仿宋" w:eastAsia="仿宋" w:cstheme="minorBidi"/>
          <w:color w:val="auto"/>
          <w:kern w:val="2"/>
          <w:sz w:val="28"/>
          <w:szCs w:val="21"/>
          <w:lang w:val="en-US" w:eastAsia="zh-CN" w:bidi="ar-SA"/>
        </w:rPr>
        <w:t>决算数大于年初预算数的</w:t>
      </w:r>
      <w:r>
        <w:rPr>
          <w:rFonts w:hint="eastAsia" w:ascii="仿宋" w:hAnsi="仿宋" w:eastAsia="仿宋" w:cstheme="minorBidi"/>
          <w:b w:val="0"/>
          <w:bCs w:val="0"/>
          <w:color w:val="auto"/>
          <w:kern w:val="2"/>
          <w:sz w:val="28"/>
          <w:szCs w:val="21"/>
          <w:lang w:val="en-US" w:eastAsia="zh-CN" w:bidi="ar-SA"/>
        </w:rPr>
        <w:t>主要原因是年中</w:t>
      </w:r>
      <w:r>
        <w:rPr>
          <w:rFonts w:hint="eastAsia" w:ascii="仿宋" w:hAnsi="仿宋" w:eastAsia="仿宋" w:cstheme="minorBidi"/>
          <w:color w:val="auto"/>
          <w:kern w:val="2"/>
          <w:sz w:val="28"/>
          <w:szCs w:val="21"/>
          <w:lang w:val="en-US" w:eastAsia="zh-CN" w:bidi="ar-SA"/>
        </w:rPr>
        <w:t>省厅下达的农民大学生职业培训补贴资金支出及年中追加了离退休人员的奖金。</w:t>
      </w:r>
    </w:p>
    <w:p>
      <w:pPr>
        <w:pStyle w:val="12"/>
        <w:ind w:firstLine="560" w:firstLineChars="200"/>
        <w:rPr>
          <w:rFonts w:hint="eastAsia" w:ascii="仿宋" w:hAnsi="仿宋" w:eastAsia="仿宋" w:cstheme="minorBidi"/>
          <w:color w:val="auto"/>
          <w:kern w:val="2"/>
          <w:sz w:val="28"/>
          <w:szCs w:val="21"/>
          <w:lang w:val="en-US" w:eastAsia="zh-CN" w:bidi="ar-SA"/>
        </w:rPr>
      </w:pPr>
      <w:r>
        <w:rPr>
          <w:rFonts w:hint="eastAsia" w:ascii="仿宋" w:hAnsi="仿宋" w:eastAsia="仿宋" w:cstheme="minorBidi"/>
          <w:color w:val="auto"/>
          <w:kern w:val="2"/>
          <w:sz w:val="28"/>
          <w:szCs w:val="21"/>
          <w:lang w:val="en-US" w:eastAsia="zh-CN" w:bidi="ar-SA"/>
        </w:rPr>
        <w:t>三、卫生健康支出年初预算为32.79万元，支出决算为32.79万元，完成年初预算的100.00%。</w:t>
      </w:r>
    </w:p>
    <w:p>
      <w:pPr>
        <w:pStyle w:val="12"/>
        <w:ind w:firstLine="560" w:firstLineChars="200"/>
        <w:rPr>
          <w:rFonts w:hint="eastAsia" w:ascii="仿宋" w:hAnsi="仿宋" w:eastAsia="仿宋" w:cstheme="minorBidi"/>
          <w:color w:val="auto"/>
          <w:kern w:val="2"/>
          <w:sz w:val="28"/>
          <w:szCs w:val="21"/>
          <w:lang w:val="en-US" w:eastAsia="zh-CN" w:bidi="ar-SA"/>
        </w:rPr>
      </w:pPr>
      <w:r>
        <w:rPr>
          <w:rFonts w:hint="eastAsia" w:ascii="仿宋" w:hAnsi="仿宋" w:eastAsia="仿宋" w:cstheme="minorBidi"/>
          <w:color w:val="auto"/>
          <w:kern w:val="2"/>
          <w:sz w:val="28"/>
          <w:szCs w:val="21"/>
          <w:lang w:val="en-US" w:eastAsia="zh-CN" w:bidi="ar-SA"/>
        </w:rPr>
        <w:t>四、住房保障支出年初预算为49.19万元，支出决算为49.19万元，完成年初预算的100.00%。</w:t>
      </w:r>
    </w:p>
    <w:p>
      <w:pPr>
        <w:pStyle w:val="12"/>
        <w:ind w:firstLine="640" w:firstLineChars="200"/>
        <w:rPr>
          <w:rFonts w:hAnsi="黑体"/>
          <w:b/>
          <w:color w:val="auto"/>
          <w:sz w:val="32"/>
          <w:szCs w:val="32"/>
        </w:rPr>
      </w:pPr>
      <w:r>
        <w:rPr>
          <w:rFonts w:hint="eastAsia" w:hAnsi="黑体"/>
          <w:b/>
          <w:color w:val="auto"/>
          <w:sz w:val="32"/>
          <w:szCs w:val="32"/>
        </w:rPr>
        <w:t>六、一般公共预算财政拨款基本支出决算情况说明</w:t>
      </w:r>
    </w:p>
    <w:p>
      <w:pPr>
        <w:pStyle w:val="12"/>
        <w:ind w:firstLine="560" w:firstLineChars="200"/>
        <w:rPr>
          <w:rFonts w:hint="eastAsia" w:ascii="仿宋" w:hAnsi="仿宋" w:eastAsia="仿宋" w:cstheme="minorBidi"/>
          <w:color w:val="auto"/>
          <w:kern w:val="2"/>
          <w:sz w:val="28"/>
          <w:szCs w:val="21"/>
          <w:lang w:val="en-US" w:eastAsia="zh-CN" w:bidi="ar-SA"/>
        </w:rPr>
      </w:pPr>
      <w:r>
        <w:rPr>
          <w:rFonts w:hint="eastAsia" w:ascii="仿宋" w:hAnsi="仿宋" w:eastAsia="仿宋" w:cstheme="minorBidi"/>
          <w:color w:val="auto"/>
          <w:kern w:val="2"/>
          <w:sz w:val="28"/>
          <w:szCs w:val="21"/>
          <w:lang w:val="en-US" w:eastAsia="zh-CN" w:bidi="ar-SA"/>
        </w:rPr>
        <w:t>2019年度一般公共预算财政拨款基本支出1,206.47万元，其中：人员经费880.44万元，占基本支出的72.98%,主要包括基本工资、津贴补贴、奖金、绩效工资、机关事业单位基本养老保险缴费、职工基本医疗保险缴费、其他社会保障缴费、住房公积金、医疗费、对个人和家庭补助中的生活补助及救济费；公用经费326.03万元，占基本支出的27.02%，主要包括办公费、印刷费、咨询费、水费、电费、邮电费、物业管理费、差旅费、维修（护）费、培训费、公务接待费、专用材料费、劳务费、委托业务费、工会经费、公务用车运行维护费、其他商品和服务支出、办公设备购置。</w:t>
      </w:r>
    </w:p>
    <w:p>
      <w:pPr>
        <w:pStyle w:val="12"/>
        <w:ind w:firstLine="640" w:firstLineChars="200"/>
        <w:rPr>
          <w:rFonts w:hAnsi="黑体"/>
          <w:b/>
          <w:color w:val="auto"/>
          <w:sz w:val="32"/>
          <w:szCs w:val="32"/>
        </w:rPr>
      </w:pPr>
      <w:r>
        <w:rPr>
          <w:rFonts w:hint="eastAsia" w:hAnsi="黑体"/>
          <w:b/>
          <w:color w:val="auto"/>
          <w:sz w:val="32"/>
          <w:szCs w:val="32"/>
        </w:rPr>
        <w:t>七、一般公共预算财政拨款三公经费支出决算情况说明</w:t>
      </w:r>
    </w:p>
    <w:p>
      <w:pPr>
        <w:pStyle w:val="12"/>
        <w:ind w:firstLine="640" w:firstLineChars="20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（一）“三公”经费财政拨款支出决算总体情况说明</w:t>
      </w:r>
    </w:p>
    <w:p>
      <w:pPr>
        <w:widowControl/>
        <w:ind w:firstLine="560" w:firstLineChars="200"/>
        <w:jc w:val="left"/>
        <w:rPr>
          <w:rFonts w:hint="eastAsia" w:ascii="仿宋" w:hAnsi="仿宋" w:eastAsia="仿宋" w:cstheme="minorBidi"/>
          <w:color w:val="auto"/>
          <w:kern w:val="2"/>
          <w:sz w:val="28"/>
          <w:szCs w:val="21"/>
          <w:lang w:val="en-US" w:eastAsia="zh-CN" w:bidi="ar-SA"/>
        </w:rPr>
      </w:pPr>
      <w:r>
        <w:rPr>
          <w:rFonts w:hint="eastAsia" w:ascii="仿宋" w:hAnsi="仿宋" w:eastAsia="仿宋" w:cstheme="minorBidi"/>
          <w:color w:val="auto"/>
          <w:kern w:val="2"/>
          <w:sz w:val="28"/>
          <w:szCs w:val="21"/>
          <w:lang w:val="en-US" w:eastAsia="zh-CN" w:bidi="ar-SA"/>
        </w:rPr>
        <w:t>“三公”经费财政拨款支出预算为30.00万元，支出决算为7.25万元，完成预算的24.16%，</w:t>
      </w:r>
    </w:p>
    <w:p>
      <w:pPr>
        <w:widowControl/>
        <w:ind w:firstLine="560" w:firstLineChars="200"/>
        <w:jc w:val="left"/>
        <w:rPr>
          <w:rFonts w:hint="eastAsia" w:ascii="仿宋" w:hAnsi="仿宋" w:eastAsia="仿宋" w:cstheme="minorBidi"/>
          <w:color w:val="auto"/>
          <w:kern w:val="2"/>
          <w:sz w:val="28"/>
          <w:szCs w:val="21"/>
          <w:lang w:val="en-US" w:eastAsia="zh-CN" w:bidi="ar-SA"/>
        </w:rPr>
      </w:pPr>
      <w:r>
        <w:rPr>
          <w:rFonts w:hint="eastAsia" w:ascii="仿宋" w:hAnsi="仿宋" w:eastAsia="仿宋" w:cstheme="minorBidi"/>
          <w:color w:val="auto"/>
          <w:kern w:val="2"/>
          <w:sz w:val="28"/>
          <w:szCs w:val="21"/>
          <w:lang w:val="en-US" w:eastAsia="zh-CN" w:bidi="ar-SA"/>
        </w:rPr>
        <w:t>其中：公务接待费支出预算为15.00万元，支出决算为1.60万元，完成预算的10.66%，与上年相比增加0.61万元，增长61.62%,</w:t>
      </w:r>
      <w:r>
        <w:rPr>
          <w:rFonts w:hint="eastAsia" w:ascii="仿宋" w:hAnsi="仿宋" w:eastAsia="仿宋" w:cstheme="minorBidi"/>
          <w:color w:val="auto"/>
          <w:kern w:val="2"/>
          <w:sz w:val="28"/>
          <w:szCs w:val="21"/>
          <w:lang w:val="en-US" w:eastAsia="zh-CN" w:bidi="ar-SA"/>
        </w:rPr>
        <w:t>增长的主要原因是部分2018年底开支的公务接待费在2019年年初结算。</w:t>
      </w:r>
    </w:p>
    <w:p>
      <w:pPr>
        <w:widowControl/>
        <w:ind w:firstLine="560" w:firstLineChars="200"/>
        <w:jc w:val="left"/>
        <w:rPr>
          <w:rFonts w:hint="eastAsia" w:ascii="仿宋" w:hAnsi="仿宋" w:eastAsia="仿宋" w:cstheme="minorBidi"/>
          <w:color w:val="auto"/>
          <w:kern w:val="2"/>
          <w:sz w:val="28"/>
          <w:szCs w:val="21"/>
          <w:lang w:val="en-US" w:eastAsia="zh-CN" w:bidi="ar-SA"/>
        </w:rPr>
      </w:pPr>
      <w:r>
        <w:rPr>
          <w:rFonts w:hint="eastAsia" w:ascii="仿宋" w:hAnsi="仿宋" w:eastAsia="仿宋" w:cstheme="minorBidi"/>
          <w:color w:val="auto"/>
          <w:kern w:val="2"/>
          <w:sz w:val="28"/>
          <w:szCs w:val="21"/>
          <w:lang w:val="en-US" w:eastAsia="zh-CN" w:bidi="ar-SA"/>
        </w:rPr>
        <w:t>公务用车购置费及运行维护费支出预算为15.00万元，其中购置费及维护费，支出决算为5.65万元，完成预算的37.67%，与上年相比减少9.35万元，减少62.33%,</w:t>
      </w:r>
      <w:r>
        <w:rPr>
          <w:rFonts w:hint="eastAsia" w:ascii="仿宋" w:hAnsi="仿宋" w:eastAsia="仿宋" w:cstheme="minorBidi"/>
          <w:color w:val="auto"/>
          <w:kern w:val="2"/>
          <w:sz w:val="28"/>
          <w:szCs w:val="21"/>
          <w:lang w:val="en-US" w:eastAsia="zh-CN" w:bidi="ar-SA"/>
        </w:rPr>
        <w:t>减少的主要原因是因车改，有台公务用车提前封存进入待处置状态，节约了公务车总体运行维护费用。</w:t>
      </w:r>
    </w:p>
    <w:p>
      <w:pPr>
        <w:widowControl/>
        <w:ind w:firstLine="560" w:firstLineChars="200"/>
        <w:jc w:val="left"/>
        <w:rPr>
          <w:rFonts w:hint="eastAsia" w:ascii="仿宋" w:hAnsi="仿宋" w:eastAsia="仿宋" w:cstheme="minorBidi"/>
          <w:color w:val="auto"/>
          <w:kern w:val="2"/>
          <w:sz w:val="28"/>
          <w:szCs w:val="21"/>
          <w:lang w:val="en-US" w:eastAsia="zh-CN" w:bidi="ar-SA"/>
        </w:rPr>
      </w:pPr>
      <w:r>
        <w:rPr>
          <w:rFonts w:hint="eastAsia" w:ascii="仿宋" w:hAnsi="仿宋" w:eastAsia="仿宋" w:cstheme="minorBidi"/>
          <w:color w:val="auto"/>
          <w:kern w:val="2"/>
          <w:sz w:val="28"/>
          <w:szCs w:val="21"/>
          <w:lang w:val="en-US" w:eastAsia="zh-CN" w:bidi="ar-SA"/>
        </w:rPr>
        <w:t>“三公”经费的支出决算数小于年初预算数主要是因为我校较好地落实了省里及市委市政府的要求，厉行节约，压缩一般性行政经费，严格三公经费支出的审核把关和规范三公经费的支出程序。</w:t>
      </w:r>
    </w:p>
    <w:p>
      <w:pPr>
        <w:pStyle w:val="12"/>
        <w:ind w:firstLine="640" w:firstLineChars="20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（二）“三公”经费财政拨款支出决算具体情况说明</w:t>
      </w:r>
    </w:p>
    <w:p>
      <w:pPr>
        <w:widowControl/>
        <w:ind w:firstLine="560" w:firstLineChars="200"/>
        <w:jc w:val="left"/>
        <w:rPr>
          <w:rFonts w:hint="eastAsia" w:ascii="仿宋" w:hAnsi="仿宋" w:eastAsia="仿宋" w:cstheme="minorBidi"/>
          <w:color w:val="auto"/>
          <w:kern w:val="2"/>
          <w:sz w:val="28"/>
          <w:szCs w:val="21"/>
          <w:lang w:val="en-US" w:eastAsia="zh-CN" w:bidi="ar-SA"/>
        </w:rPr>
      </w:pPr>
      <w:r>
        <w:rPr>
          <w:rFonts w:hint="eastAsia" w:ascii="仿宋" w:hAnsi="仿宋" w:eastAsia="仿宋" w:cstheme="minorBidi"/>
          <w:color w:val="auto"/>
          <w:kern w:val="2"/>
          <w:sz w:val="28"/>
          <w:szCs w:val="21"/>
          <w:lang w:val="en-US" w:eastAsia="zh-CN" w:bidi="ar-SA"/>
        </w:rPr>
        <w:t>2019年度“三公”经费财政拨款支出决算中，公务接待费支出决算1.60万元，占22.07%,公务用车购置费及运行维护费支出决算5.65万元，占77.93%。其中：</w:t>
      </w:r>
    </w:p>
    <w:p>
      <w:pPr>
        <w:widowControl/>
        <w:ind w:firstLine="560" w:firstLineChars="200"/>
        <w:jc w:val="left"/>
        <w:rPr>
          <w:rFonts w:hint="eastAsia" w:ascii="仿宋" w:hAnsi="仿宋" w:eastAsia="仿宋" w:cstheme="minorBidi"/>
          <w:color w:val="auto"/>
          <w:kern w:val="2"/>
          <w:sz w:val="28"/>
          <w:szCs w:val="21"/>
          <w:lang w:val="en-US" w:eastAsia="zh-CN" w:bidi="ar-SA"/>
        </w:rPr>
      </w:pPr>
      <w:r>
        <w:rPr>
          <w:rFonts w:hint="eastAsia" w:ascii="仿宋" w:hAnsi="仿宋" w:eastAsia="仿宋" w:cstheme="minorBidi"/>
          <w:color w:val="auto"/>
          <w:kern w:val="2"/>
          <w:sz w:val="28"/>
          <w:szCs w:val="21"/>
          <w:lang w:val="en-US" w:eastAsia="zh-CN" w:bidi="ar-SA"/>
        </w:rPr>
        <w:t>1、公务接待费支出决算为1.60万元，全年共接待来访团组36个、来宾310人次，主要是</w:t>
      </w:r>
      <w:r>
        <w:rPr>
          <w:rFonts w:hint="eastAsia" w:ascii="仿宋" w:hAnsi="仿宋" w:eastAsia="仿宋" w:cstheme="minorBidi"/>
          <w:color w:val="auto"/>
          <w:kern w:val="2"/>
          <w:sz w:val="28"/>
          <w:szCs w:val="21"/>
          <w:lang w:val="en-US" w:eastAsia="zh-CN" w:bidi="ar-SA"/>
        </w:rPr>
        <w:t>接待省电大领导来校调研指导及巡考工作，其他市州兄弟院校来我校学习交流，下面各县城工作站及教学点来我校衔接招生、考试、教学等业务工作发生的接待支出。</w:t>
      </w:r>
    </w:p>
    <w:p>
      <w:pPr>
        <w:widowControl/>
        <w:ind w:firstLine="560" w:firstLineChars="200"/>
        <w:jc w:val="left"/>
        <w:rPr>
          <w:rFonts w:hint="eastAsia" w:ascii="仿宋" w:hAnsi="仿宋" w:eastAsia="仿宋" w:cstheme="minorBidi"/>
          <w:color w:val="auto"/>
          <w:kern w:val="2"/>
          <w:sz w:val="28"/>
          <w:szCs w:val="21"/>
          <w:lang w:val="en-US" w:eastAsia="zh-CN" w:bidi="ar-SA"/>
        </w:rPr>
      </w:pPr>
      <w:r>
        <w:rPr>
          <w:rFonts w:hint="eastAsia" w:ascii="仿宋" w:hAnsi="仿宋" w:eastAsia="仿宋" w:cstheme="minorBidi"/>
          <w:color w:val="auto"/>
          <w:kern w:val="2"/>
          <w:sz w:val="28"/>
          <w:szCs w:val="21"/>
          <w:lang w:val="en-US" w:eastAsia="zh-CN" w:bidi="ar-SA"/>
        </w:rPr>
        <w:t>2、公务用车购置费及运行维护费支出决算为5.65万元，其中：公务用车运行维护费5.65万元，</w:t>
      </w:r>
      <w:r>
        <w:rPr>
          <w:rFonts w:hint="eastAsia" w:ascii="仿宋" w:hAnsi="仿宋" w:eastAsia="仿宋" w:cstheme="minorBidi"/>
          <w:color w:val="auto"/>
          <w:kern w:val="2"/>
          <w:sz w:val="28"/>
          <w:szCs w:val="21"/>
          <w:lang w:val="en-US" w:eastAsia="zh-CN" w:bidi="ar-SA"/>
        </w:rPr>
        <w:t>主要是公务车运行维护支出</w:t>
      </w:r>
      <w:r>
        <w:rPr>
          <w:rFonts w:hint="eastAsia" w:ascii="仿宋" w:hAnsi="仿宋" w:eastAsia="仿宋" w:cstheme="minorBidi"/>
          <w:color w:val="auto"/>
          <w:kern w:val="2"/>
          <w:sz w:val="28"/>
          <w:szCs w:val="21"/>
          <w:lang w:val="en-US" w:eastAsia="zh-CN" w:bidi="ar-SA"/>
        </w:rPr>
        <w:t>，截止2019年12月31日，我单位开支财政拨款的公务用车保有量为2辆。</w:t>
      </w:r>
    </w:p>
    <w:p>
      <w:pPr>
        <w:pStyle w:val="12"/>
        <w:rPr>
          <w:rFonts w:hint="eastAsia" w:asciiTheme="minorEastAsia" w:hAnsiTheme="minorEastAsia" w:eastAsiaTheme="minorEastAsia"/>
          <w:b/>
          <w:bCs/>
          <w:color w:val="auto"/>
          <w:sz w:val="32"/>
          <w:szCs w:val="32"/>
        </w:rPr>
      </w:pPr>
      <w:r>
        <w:rPr>
          <w:rFonts w:hint="eastAsia" w:asciiTheme="minorEastAsia" w:hAnsiTheme="minorEastAsia" w:eastAsiaTheme="minorEastAsia"/>
          <w:color w:val="auto"/>
          <w:sz w:val="32"/>
          <w:szCs w:val="32"/>
        </w:rPr>
        <w:t xml:space="preserve">   </w:t>
      </w:r>
      <w:r>
        <w:rPr>
          <w:rFonts w:hint="eastAsia" w:asciiTheme="minorEastAsia" w:hAnsiTheme="minorEastAsia" w:eastAsiaTheme="minorEastAsia"/>
          <w:color w:val="auto"/>
          <w:sz w:val="32"/>
          <w:szCs w:val="32"/>
          <w:lang w:val="en-US" w:eastAsia="zh-CN"/>
        </w:rPr>
        <w:t xml:space="preserve"> </w:t>
      </w:r>
      <w:r>
        <w:rPr>
          <w:rFonts w:hint="eastAsia" w:asciiTheme="minorEastAsia" w:hAnsiTheme="minorEastAsia" w:eastAsiaTheme="minorEastAsia"/>
          <w:b/>
          <w:bCs/>
          <w:color w:val="auto"/>
          <w:sz w:val="32"/>
          <w:szCs w:val="32"/>
        </w:rPr>
        <w:t>八、政府性基金预算收入支出决算情况</w:t>
      </w:r>
    </w:p>
    <w:p>
      <w:pPr>
        <w:widowControl/>
        <w:ind w:firstLine="560" w:firstLineChars="200"/>
        <w:jc w:val="left"/>
        <w:rPr>
          <w:rFonts w:hint="eastAsia" w:ascii="仿宋" w:hAnsi="仿宋" w:eastAsia="仿宋" w:cstheme="minorBidi"/>
          <w:color w:val="auto"/>
          <w:kern w:val="2"/>
          <w:sz w:val="28"/>
          <w:szCs w:val="21"/>
          <w:lang w:val="en-US" w:eastAsia="zh-CN" w:bidi="ar-SA"/>
        </w:rPr>
      </w:pPr>
      <w:r>
        <w:rPr>
          <w:rFonts w:hint="eastAsia" w:ascii="仿宋" w:hAnsi="仿宋" w:eastAsia="仿宋" w:cstheme="minorBidi"/>
          <w:color w:val="auto"/>
          <w:kern w:val="2"/>
          <w:sz w:val="28"/>
          <w:szCs w:val="21"/>
          <w:lang w:val="en-US" w:eastAsia="zh-CN" w:bidi="ar-SA"/>
        </w:rPr>
        <w:t>本单位无政府性基金收支。</w:t>
      </w:r>
    </w:p>
    <w:p>
      <w:pPr>
        <w:pStyle w:val="12"/>
        <w:ind w:firstLine="640" w:firstLineChars="200"/>
        <w:rPr>
          <w:rFonts w:hAnsi="黑体"/>
          <w:b/>
          <w:color w:val="auto"/>
          <w:sz w:val="32"/>
          <w:szCs w:val="32"/>
        </w:rPr>
      </w:pPr>
      <w:r>
        <w:rPr>
          <w:rFonts w:hint="eastAsia" w:hAnsi="黑体"/>
          <w:b/>
          <w:color w:val="auto"/>
          <w:sz w:val="32"/>
          <w:szCs w:val="32"/>
        </w:rPr>
        <w:t>九、关于2019年度预算绩效情况说明</w:t>
      </w:r>
    </w:p>
    <w:p>
      <w:pPr>
        <w:widowControl/>
        <w:ind w:firstLine="560" w:firstLineChars="200"/>
        <w:jc w:val="left"/>
        <w:rPr>
          <w:rFonts w:hint="default" w:ascii="仿宋" w:hAnsi="仿宋" w:eastAsia="仿宋" w:cstheme="minorBidi"/>
          <w:color w:val="auto"/>
          <w:kern w:val="2"/>
          <w:sz w:val="28"/>
          <w:szCs w:val="21"/>
          <w:lang w:val="en-US" w:eastAsia="zh-CN" w:bidi="ar-SA"/>
        </w:rPr>
      </w:pPr>
      <w:r>
        <w:rPr>
          <w:rFonts w:hint="eastAsia" w:ascii="仿宋" w:hAnsi="仿宋" w:eastAsia="仿宋" w:cstheme="minorBidi"/>
          <w:color w:val="auto"/>
          <w:kern w:val="2"/>
          <w:sz w:val="28"/>
          <w:szCs w:val="21"/>
          <w:lang w:val="en-US" w:eastAsia="zh-CN" w:bidi="ar-SA"/>
        </w:rPr>
        <w:t>根据《郴州市财政局关于做好市级预算部门绩效自评工作的通知》（郴财绩〔2020〕3号）精神，我校对部门整体支出绩效开展了自评，并在校园门户网站上公开了绩效评价报告。 2019年，我校坚持以习近平新时代中国特色社会主义思想和党的十九大以及十九届二中、三中、四中全会，全国、全省、全市教育大会精神为指引，在市委、市政府的领导，市教育局的指导下，坚守教育初心、坚持立德树人，紧紧团结系统上下教职工，较好地完成了年度工作目标，学校被湖南电大评为“招生先进单位”、全省广播电视大学系统办学目标考评优秀分校，同时也被评为市文明单位和平安创建合格单位。我校在较好地完成了年度工作目标，同时加强预算收支的管理，建立健全内部管理制度，严格内部管理流程，部门整体支出管理得到了提升。绩效评价结果显示，我校2019年绩效目标完成较好，全年总支出为4565.87万元，其中基本支出1793.05 万元：包含工资福利支出1262.82万元、商品和服务支出391.15万元、对个人和家庭的补助131.79万元，资本性支出7.29万元；项目支出2738.90万元：主要用于与项目相关的各种支出，含工资福利支出50.14万元、商品和服务支出1592.30万元、对个人和家庭的补助0.1万元，资本性支出1096.36万元；经营支出33.92万元：主要用于与经营收入相关的工资福利支出1.41万元、商品和服务支出32.51万元。</w:t>
      </w:r>
    </w:p>
    <w:p>
      <w:pPr>
        <w:pStyle w:val="12"/>
        <w:ind w:firstLine="640" w:firstLineChars="200"/>
        <w:rPr>
          <w:rFonts w:hAnsi="黑体"/>
          <w:b/>
          <w:color w:val="auto"/>
          <w:sz w:val="32"/>
          <w:szCs w:val="32"/>
        </w:rPr>
      </w:pPr>
      <w:r>
        <w:rPr>
          <w:rFonts w:hint="eastAsia" w:hAnsi="黑体"/>
          <w:b/>
          <w:color w:val="auto"/>
          <w:sz w:val="32"/>
          <w:szCs w:val="32"/>
        </w:rPr>
        <w:t>十、其他重要事项情况说明</w:t>
      </w:r>
    </w:p>
    <w:p>
      <w:pPr>
        <w:ind w:firstLine="480" w:firstLineChars="150"/>
        <w:rPr>
          <w:rFonts w:cs="黑体" w:asciiTheme="minorEastAsia" w:hAnsiTheme="minorEastAsia"/>
          <w:b/>
          <w:color w:val="auto"/>
          <w:kern w:val="0"/>
          <w:sz w:val="32"/>
          <w:szCs w:val="32"/>
        </w:rPr>
      </w:pPr>
      <w:r>
        <w:rPr>
          <w:rFonts w:hint="eastAsia" w:cs="黑体" w:asciiTheme="minorEastAsia" w:hAnsiTheme="minorEastAsia"/>
          <w:b/>
          <w:color w:val="auto"/>
          <w:kern w:val="0"/>
          <w:sz w:val="32"/>
          <w:szCs w:val="32"/>
        </w:rPr>
        <w:t>（一）机关运行经费支出情况</w:t>
      </w:r>
    </w:p>
    <w:p>
      <w:pPr>
        <w:widowControl/>
        <w:ind w:firstLine="560" w:firstLineChars="200"/>
        <w:jc w:val="left"/>
        <w:rPr>
          <w:rFonts w:hint="eastAsia" w:ascii="仿宋" w:hAnsi="仿宋" w:eastAsia="仿宋" w:cstheme="minorBidi"/>
          <w:color w:val="auto"/>
          <w:kern w:val="2"/>
          <w:sz w:val="28"/>
          <w:szCs w:val="21"/>
          <w:lang w:val="en-US" w:eastAsia="zh-CN" w:bidi="ar-SA"/>
        </w:rPr>
      </w:pPr>
      <w:r>
        <w:rPr>
          <w:rFonts w:hint="eastAsia" w:ascii="仿宋" w:hAnsi="仿宋" w:eastAsia="仿宋" w:cstheme="minorBidi"/>
          <w:color w:val="auto"/>
          <w:kern w:val="2"/>
          <w:sz w:val="28"/>
          <w:szCs w:val="21"/>
          <w:lang w:val="en-US" w:eastAsia="zh-CN" w:bidi="ar-SA"/>
        </w:rPr>
        <w:t>我校为事业单位，2019年无机关运行经费。</w:t>
      </w:r>
    </w:p>
    <w:p>
      <w:pPr>
        <w:ind w:firstLine="320" w:firstLineChars="100"/>
        <w:rPr>
          <w:rFonts w:hint="eastAsia" w:cs="黑体" w:asciiTheme="minorEastAsia" w:hAnsiTheme="minorEastAsia"/>
          <w:b/>
          <w:color w:val="auto"/>
          <w:kern w:val="0"/>
          <w:sz w:val="32"/>
          <w:szCs w:val="32"/>
        </w:rPr>
      </w:pPr>
      <w:r>
        <w:rPr>
          <w:rFonts w:hint="eastAsia" w:cs="黑体" w:asciiTheme="minorEastAsia" w:hAnsiTheme="minorEastAsia"/>
          <w:b/>
          <w:color w:val="auto"/>
          <w:kern w:val="0"/>
          <w:sz w:val="32"/>
          <w:szCs w:val="32"/>
        </w:rPr>
        <w:t>（二）一般性支出情况</w:t>
      </w:r>
    </w:p>
    <w:p>
      <w:pPr>
        <w:widowControl/>
        <w:ind w:firstLine="560" w:firstLineChars="200"/>
        <w:jc w:val="left"/>
        <w:rPr>
          <w:rFonts w:hint="eastAsia" w:ascii="仿宋" w:hAnsi="仿宋" w:eastAsia="仿宋" w:cstheme="minorBidi"/>
          <w:color w:val="auto"/>
          <w:kern w:val="2"/>
          <w:sz w:val="28"/>
          <w:szCs w:val="21"/>
          <w:lang w:val="en-US" w:eastAsia="zh-CN" w:bidi="ar-SA"/>
        </w:rPr>
      </w:pPr>
      <w:r>
        <w:rPr>
          <w:rFonts w:hint="eastAsia" w:ascii="仿宋" w:hAnsi="仿宋" w:eastAsia="仿宋" w:cstheme="minorBidi"/>
          <w:color w:val="auto"/>
          <w:kern w:val="2"/>
          <w:sz w:val="28"/>
          <w:szCs w:val="21"/>
          <w:lang w:val="en-US" w:eastAsia="zh-CN" w:bidi="ar-SA"/>
        </w:rPr>
        <w:t>2019年本部门一般性支出情况总计1,048.64万元，开支会议费0.48万元，用于我校4名教职工参加《中国远程教育》杂志社理事2019年年会，内容为回顾改革开放四十年来教育改革与发展，尤其是继续教育改革与发展进程的大视野中，探讨新时代教育现代化背景下远程与继续教育发展的新趋势、新使命，总结现代化远程教育20年办学成果和实践经验。开支培训费794.10万元，主要用于市教育局委托教师发展中心、奥鹏教育、湘南学院、中国远教、湘南幼专等单位开展教师教育培训，全年完成市级教师培训61个项目的经费支出，培训人数5837人。其中，市发展中心承办的教师培训项目有14个，参训人员为1674人。培训内容有教育精准扶贫培训、新高考管理人员培训、教师工作坊研修培训、校长岗位任职资格培训、骨干校长提升培训、教师心理健康辅导培训、园长岗位任职资格或提高培训、信息技术与教育教学融合研究培训、名师培养（国培省市联合）等；没有举办节庆、晚会、论坛、赛事活动。</w:t>
      </w:r>
    </w:p>
    <w:p>
      <w:pPr>
        <w:ind w:firstLine="640" w:firstLineChars="200"/>
        <w:rPr>
          <w:rFonts w:cs="黑体" w:asciiTheme="minorEastAsia" w:hAnsiTheme="minorEastAsia"/>
          <w:b/>
          <w:color w:val="auto"/>
          <w:kern w:val="0"/>
          <w:sz w:val="32"/>
          <w:szCs w:val="32"/>
        </w:rPr>
      </w:pPr>
      <w:r>
        <w:rPr>
          <w:rFonts w:hint="eastAsia" w:cs="黑体" w:asciiTheme="minorEastAsia" w:hAnsiTheme="minorEastAsia"/>
          <w:b/>
          <w:color w:val="auto"/>
          <w:kern w:val="0"/>
          <w:sz w:val="32"/>
          <w:szCs w:val="32"/>
        </w:rPr>
        <w:t>（三）政府采购支出情况</w:t>
      </w:r>
    </w:p>
    <w:p>
      <w:pPr>
        <w:widowControl/>
        <w:ind w:firstLine="560" w:firstLineChars="200"/>
        <w:jc w:val="left"/>
        <w:rPr>
          <w:rFonts w:hint="eastAsia" w:ascii="仿宋" w:hAnsi="仿宋" w:eastAsia="仿宋" w:cstheme="minorBidi"/>
          <w:color w:val="auto"/>
          <w:kern w:val="2"/>
          <w:sz w:val="28"/>
          <w:szCs w:val="21"/>
          <w:lang w:val="en-US" w:eastAsia="zh-CN" w:bidi="ar-SA"/>
        </w:rPr>
      </w:pPr>
      <w:r>
        <w:rPr>
          <w:rFonts w:hint="eastAsia" w:ascii="仿宋" w:hAnsi="仿宋" w:eastAsia="仿宋" w:cstheme="minorBidi"/>
          <w:color w:val="auto"/>
          <w:kern w:val="2"/>
          <w:sz w:val="28"/>
          <w:szCs w:val="21"/>
          <w:lang w:val="en-US" w:eastAsia="zh-CN" w:bidi="ar-SA"/>
        </w:rPr>
        <w:t>本部门2019年度政府采购支出总额760.46万元，其中：政府采购货物支出129.79万元、政府采购工程支出441.98万元、政府采购服务支出188.69万元。</w:t>
      </w:r>
    </w:p>
    <w:p>
      <w:pPr>
        <w:ind w:firstLine="480" w:firstLineChars="150"/>
        <w:rPr>
          <w:rFonts w:cs="黑体" w:asciiTheme="minorEastAsia" w:hAnsiTheme="minorEastAsia"/>
          <w:b/>
          <w:color w:val="auto"/>
          <w:kern w:val="0"/>
          <w:sz w:val="32"/>
          <w:szCs w:val="32"/>
        </w:rPr>
      </w:pPr>
      <w:r>
        <w:rPr>
          <w:rFonts w:hint="eastAsia" w:cs="黑体" w:asciiTheme="minorEastAsia" w:hAnsiTheme="minorEastAsia"/>
          <w:b/>
          <w:color w:val="auto"/>
          <w:kern w:val="0"/>
          <w:sz w:val="32"/>
          <w:szCs w:val="32"/>
        </w:rPr>
        <w:t>（四）国有资产占用情况</w:t>
      </w:r>
    </w:p>
    <w:p>
      <w:pPr>
        <w:widowControl/>
        <w:ind w:firstLine="560" w:firstLineChars="200"/>
        <w:jc w:val="left"/>
        <w:rPr>
          <w:rFonts w:hint="eastAsia" w:ascii="仿宋" w:hAnsi="仿宋" w:eastAsia="仿宋" w:cstheme="minorBidi"/>
          <w:color w:val="auto"/>
          <w:kern w:val="2"/>
          <w:sz w:val="28"/>
          <w:szCs w:val="21"/>
          <w:lang w:val="en-US" w:eastAsia="zh-CN" w:bidi="ar-SA"/>
        </w:rPr>
      </w:pPr>
      <w:r>
        <w:rPr>
          <w:rFonts w:hint="eastAsia" w:ascii="仿宋" w:hAnsi="仿宋" w:eastAsia="仿宋" w:cstheme="minorBidi"/>
          <w:color w:val="auto"/>
          <w:kern w:val="2"/>
          <w:sz w:val="28"/>
          <w:szCs w:val="21"/>
          <w:lang w:val="en-US" w:eastAsia="zh-CN" w:bidi="ar-SA"/>
        </w:rPr>
        <w:t>截至2019年12月31日，本单位共有车辆2辆，属于其他用车，其中有一辆公务车因公车改革处于待处理阶段，于2020年1月正式移交给郴州市事务管理局处置，另一辆公务车主要是用于试卷保密接送和公务出行；单位价值50万元以上通用设备0台（套）；单位价值100万元以上专用设备0台（套）。</w:t>
      </w:r>
    </w:p>
    <w:p>
      <w:pPr>
        <w:widowControl/>
        <w:jc w:val="left"/>
        <w:rPr>
          <w:rFonts w:hint="eastAsia" w:ascii="仿宋" w:hAnsi="仿宋" w:eastAsia="仿宋" w:cstheme="minorBidi"/>
          <w:color w:val="auto"/>
          <w:kern w:val="2"/>
          <w:sz w:val="32"/>
          <w:szCs w:val="22"/>
          <w:lang w:val="en-US" w:eastAsia="zh-CN" w:bidi="ar-SA"/>
        </w:rPr>
      </w:pPr>
      <w:r>
        <w:rPr>
          <w:rFonts w:hint="eastAsia" w:ascii="仿宋" w:hAnsi="仿宋" w:eastAsia="仿宋" w:cstheme="minorBidi"/>
          <w:color w:val="auto"/>
          <w:kern w:val="2"/>
          <w:sz w:val="32"/>
          <w:szCs w:val="22"/>
          <w:lang w:val="en-US" w:eastAsia="zh-CN" w:bidi="ar-SA"/>
        </w:rPr>
        <w:br w:type="page"/>
      </w:r>
    </w:p>
    <w:p>
      <w:pPr>
        <w:ind w:firstLine="640" w:firstLineChars="200"/>
        <w:rPr>
          <w:rFonts w:cs="黑体" w:asciiTheme="minorEastAsia" w:hAnsiTheme="minorEastAsia"/>
          <w:color w:val="auto"/>
          <w:kern w:val="0"/>
          <w:sz w:val="32"/>
          <w:szCs w:val="3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r>
        <w:rPr>
          <w:rFonts w:hint="eastAsia"/>
          <w:color w:val="auto"/>
          <w:sz w:val="72"/>
          <w:szCs w:val="72"/>
        </w:rPr>
        <w:t>第四部分</w:t>
      </w:r>
    </w:p>
    <w:p>
      <w:pPr>
        <w:jc w:val="center"/>
        <w:rPr>
          <w:rFonts w:ascii="黑体" w:eastAsia="黑体" w:cs="黑体"/>
          <w:color w:val="auto"/>
          <w:kern w:val="0"/>
          <w:sz w:val="70"/>
          <w:szCs w:val="70"/>
        </w:rPr>
      </w:pPr>
    </w:p>
    <w:p>
      <w:pPr>
        <w:jc w:val="center"/>
        <w:rPr>
          <w:rFonts w:ascii="黑体" w:eastAsia="黑体" w:cs="黑体"/>
          <w:color w:val="auto"/>
          <w:kern w:val="0"/>
          <w:sz w:val="70"/>
          <w:szCs w:val="70"/>
        </w:rPr>
      </w:pPr>
      <w:r>
        <w:rPr>
          <w:rFonts w:hint="eastAsia" w:ascii="黑体" w:eastAsia="黑体" w:cs="黑体"/>
          <w:color w:val="auto"/>
          <w:kern w:val="0"/>
          <w:sz w:val="70"/>
          <w:szCs w:val="70"/>
        </w:rPr>
        <w:t>名词解释</w:t>
      </w:r>
    </w:p>
    <w:p>
      <w:pPr>
        <w:widowControl/>
        <w:jc w:val="left"/>
        <w:rPr>
          <w:rFonts w:ascii="黑体" w:eastAsia="黑体" w:cs="黑体"/>
          <w:color w:val="auto"/>
          <w:kern w:val="0"/>
          <w:sz w:val="70"/>
          <w:szCs w:val="70"/>
        </w:rPr>
      </w:pPr>
      <w:r>
        <w:rPr>
          <w:rFonts w:ascii="黑体" w:eastAsia="黑体" w:cs="黑体"/>
          <w:color w:val="auto"/>
          <w:kern w:val="0"/>
          <w:sz w:val="70"/>
          <w:szCs w:val="70"/>
        </w:rPr>
        <w:br w:type="page"/>
      </w:r>
    </w:p>
    <w:p>
      <w:pPr>
        <w:ind w:firstLine="640" w:firstLineChars="200"/>
        <w:jc w:val="left"/>
        <w:rPr>
          <w:rFonts w:cs="黑体" w:asciiTheme="minorEastAsia" w:hAnsiTheme="minorEastAsia"/>
          <w:color w:val="auto"/>
          <w:kern w:val="0"/>
          <w:sz w:val="32"/>
          <w:szCs w:val="32"/>
        </w:rPr>
      </w:pPr>
    </w:p>
    <w:p>
      <w:pPr>
        <w:pStyle w:val="5"/>
        <w:shd w:val="clear" w:color="auto" w:fill="FFFFFF"/>
        <w:spacing w:beforeAutospacing="0" w:afterAutospacing="0" w:line="560" w:lineRule="exact"/>
        <w:ind w:firstLine="560" w:firstLineChars="200"/>
        <w:rPr>
          <w:rFonts w:ascii="仿宋" w:hAnsi="仿宋" w:eastAsia="仿宋"/>
          <w:b/>
          <w:color w:val="auto"/>
          <w:sz w:val="28"/>
          <w:szCs w:val="28"/>
        </w:rPr>
      </w:pPr>
      <w:r>
        <w:rPr>
          <w:b/>
          <w:color w:val="auto"/>
          <w:sz w:val="28"/>
          <w:szCs w:val="21"/>
          <w:shd w:val="clear" w:color="auto" w:fill="FFFFFF"/>
        </w:rPr>
        <w:t>财政拨款收入：</w:t>
      </w:r>
      <w:r>
        <w:rPr>
          <w:rFonts w:ascii="仿宋" w:hAnsi="仿宋" w:eastAsia="仿宋"/>
          <w:color w:val="auto"/>
          <w:sz w:val="28"/>
          <w:szCs w:val="28"/>
          <w:shd w:val="clear" w:color="auto" w:fill="FFFFFF"/>
        </w:rPr>
        <w:t>指本级财政当年拨付的资金</w:t>
      </w:r>
    </w:p>
    <w:p>
      <w:pPr>
        <w:spacing w:line="560" w:lineRule="exact"/>
        <w:ind w:firstLine="560" w:firstLineChars="200"/>
        <w:jc w:val="left"/>
        <w:rPr>
          <w:rFonts w:hint="eastAsia" w:ascii="仿宋" w:hAnsi="仿宋" w:eastAsia="仿宋"/>
          <w:color w:val="auto"/>
          <w:sz w:val="32"/>
        </w:rPr>
      </w:pPr>
      <w:r>
        <w:rPr>
          <w:rFonts w:hint="eastAsia" w:asciiTheme="minorHAnsi" w:hAnsiTheme="minorHAnsi" w:eastAsiaTheme="minorEastAsia" w:cstheme="minorBidi"/>
          <w:b/>
          <w:color w:val="auto"/>
          <w:kern w:val="0"/>
          <w:sz w:val="28"/>
          <w:szCs w:val="21"/>
          <w:shd w:val="clear" w:color="auto" w:fill="FFFFFF"/>
          <w:lang w:val="en-US" w:eastAsia="zh-CN" w:bidi="ar"/>
        </w:rPr>
        <w:t>基本支出：</w:t>
      </w:r>
      <w:r>
        <w:rPr>
          <w:rFonts w:hint="eastAsia" w:ascii="仿宋" w:hAnsi="仿宋" w:eastAsia="仿宋" w:cstheme="minorBidi"/>
          <w:color w:val="auto"/>
          <w:kern w:val="0"/>
          <w:sz w:val="28"/>
          <w:szCs w:val="28"/>
          <w:shd w:val="clear" w:color="auto" w:fill="FFFFFF"/>
          <w:lang w:val="en-US" w:eastAsia="zh-CN" w:bidi="ar"/>
        </w:rPr>
        <w:t>指为保障机构正常运转、完成日常工作任务而发生的各项支出，包括人员支出和公用支出。</w:t>
      </w:r>
      <w:r>
        <w:rPr>
          <w:rFonts w:hint="eastAsia" w:ascii="仿宋" w:hAnsi="仿宋" w:eastAsia="仿宋"/>
          <w:color w:val="auto"/>
          <w:sz w:val="32"/>
        </w:rPr>
        <w:t xml:space="preserve">  </w:t>
      </w:r>
    </w:p>
    <w:p>
      <w:pPr>
        <w:spacing w:line="560" w:lineRule="exact"/>
        <w:ind w:firstLine="630"/>
        <w:jc w:val="left"/>
        <w:rPr>
          <w:rFonts w:hint="eastAsia" w:ascii="仿宋" w:hAnsi="仿宋" w:eastAsia="仿宋" w:cstheme="minorBidi"/>
          <w:color w:val="auto"/>
          <w:kern w:val="0"/>
          <w:sz w:val="28"/>
          <w:szCs w:val="28"/>
          <w:shd w:val="clear" w:color="auto" w:fill="FFFFFF"/>
          <w:lang w:val="en-US" w:eastAsia="zh-CN" w:bidi="ar"/>
        </w:rPr>
      </w:pPr>
      <w:r>
        <w:rPr>
          <w:rFonts w:hint="eastAsia" w:asciiTheme="minorHAnsi" w:hAnsiTheme="minorHAnsi" w:eastAsiaTheme="minorEastAsia" w:cstheme="minorBidi"/>
          <w:b/>
          <w:color w:val="auto"/>
          <w:kern w:val="0"/>
          <w:sz w:val="28"/>
          <w:szCs w:val="21"/>
          <w:shd w:val="clear" w:color="auto" w:fill="FFFFFF"/>
          <w:lang w:val="en-US" w:eastAsia="zh-CN" w:bidi="ar"/>
        </w:rPr>
        <w:t>项目支出：</w:t>
      </w:r>
      <w:r>
        <w:rPr>
          <w:rFonts w:hint="eastAsia" w:ascii="仿宋" w:hAnsi="仿宋" w:eastAsia="仿宋" w:cstheme="minorBidi"/>
          <w:color w:val="auto"/>
          <w:kern w:val="0"/>
          <w:sz w:val="28"/>
          <w:szCs w:val="28"/>
          <w:shd w:val="clear" w:color="auto" w:fill="FFFFFF"/>
          <w:lang w:val="en-US" w:eastAsia="zh-CN" w:bidi="ar"/>
        </w:rPr>
        <w:t xml:space="preserve">指在基本支出以外为完成相关行政任务和事业发展目标所发生的各项支出。  </w:t>
      </w:r>
    </w:p>
    <w:p>
      <w:pPr>
        <w:spacing w:line="560" w:lineRule="exact"/>
        <w:ind w:firstLine="560" w:firstLineChars="200"/>
        <w:jc w:val="left"/>
        <w:rPr>
          <w:rFonts w:hint="eastAsia" w:ascii="仿宋" w:hAnsi="仿宋" w:eastAsia="仿宋"/>
          <w:b/>
          <w:color w:val="auto"/>
          <w:sz w:val="32"/>
        </w:rPr>
      </w:pPr>
      <w:r>
        <w:rPr>
          <w:rFonts w:hint="eastAsia" w:asciiTheme="minorHAnsi" w:hAnsiTheme="minorHAnsi" w:eastAsiaTheme="minorEastAsia" w:cstheme="minorBidi"/>
          <w:b/>
          <w:color w:val="auto"/>
          <w:kern w:val="0"/>
          <w:sz w:val="28"/>
          <w:szCs w:val="21"/>
          <w:shd w:val="clear" w:color="auto" w:fill="FFFFFF"/>
          <w:lang w:val="en-US" w:eastAsia="zh-CN" w:bidi="ar"/>
        </w:rPr>
        <w:t>“三公”经费：</w:t>
      </w:r>
      <w:r>
        <w:rPr>
          <w:rFonts w:hint="eastAsia" w:ascii="仿宋" w:hAnsi="仿宋" w:eastAsia="仿宋" w:cstheme="minorBidi"/>
          <w:color w:val="auto"/>
          <w:kern w:val="0"/>
          <w:sz w:val="28"/>
          <w:szCs w:val="28"/>
          <w:shd w:val="clear" w:color="auto" w:fill="FFFFFF"/>
          <w:lang w:val="en-US" w:eastAsia="zh-CN" w:bidi="ar"/>
        </w:rPr>
        <w:t>指通过</w:t>
      </w:r>
      <w:r>
        <w:rPr>
          <w:rFonts w:hint="eastAsia" w:ascii="仿宋" w:hAnsi="仿宋" w:eastAsia="仿宋" w:cstheme="minorBidi"/>
          <w:color w:val="auto"/>
          <w:kern w:val="0"/>
          <w:sz w:val="28"/>
          <w:szCs w:val="28"/>
          <w:shd w:val="clear" w:color="auto" w:fill="FFFFFF"/>
          <w:lang w:val="zh-CN" w:eastAsia="zh-CN" w:bidi="ar"/>
        </w:rPr>
        <w:t>公共</w:t>
      </w:r>
      <w:r>
        <w:rPr>
          <w:rFonts w:hint="eastAsia" w:ascii="仿宋" w:hAnsi="仿宋" w:eastAsia="仿宋" w:cstheme="minorBidi"/>
          <w:color w:val="auto"/>
          <w:kern w:val="0"/>
          <w:sz w:val="28"/>
          <w:szCs w:val="28"/>
          <w:shd w:val="clear" w:color="auto" w:fill="FFFFFF"/>
          <w:lang w:val="en-US" w:eastAsia="zh-CN" w:bidi="ar"/>
        </w:rPr>
        <w:t xml:space="preserve">财政预算拨款资金安排的因公出国（境）费、公务用车购置及运行费和公务接待费支出。 </w:t>
      </w:r>
      <w:r>
        <w:rPr>
          <w:rFonts w:hint="eastAsia" w:ascii="仿宋" w:hAnsi="仿宋" w:eastAsia="仿宋"/>
          <w:color w:val="auto"/>
          <w:sz w:val="32"/>
        </w:rPr>
        <w:t xml:space="preserve"> </w:t>
      </w:r>
    </w:p>
    <w:p>
      <w:pPr>
        <w:spacing w:line="560" w:lineRule="exact"/>
        <w:ind w:firstLine="560" w:firstLineChars="200"/>
        <w:jc w:val="left"/>
        <w:rPr>
          <w:rFonts w:hint="eastAsia" w:ascii="仿宋" w:hAnsi="仿宋" w:eastAsia="仿宋" w:cstheme="minorBidi"/>
          <w:color w:val="auto"/>
          <w:kern w:val="0"/>
          <w:sz w:val="28"/>
          <w:szCs w:val="28"/>
          <w:shd w:val="clear" w:color="auto" w:fill="FFFFFF"/>
          <w:lang w:val="en-US" w:eastAsia="zh-CN" w:bidi="ar"/>
        </w:rPr>
      </w:pPr>
      <w:r>
        <w:rPr>
          <w:rFonts w:hint="eastAsia" w:asciiTheme="minorHAnsi" w:hAnsiTheme="minorHAnsi" w:eastAsiaTheme="minorEastAsia" w:cstheme="minorBidi"/>
          <w:b/>
          <w:color w:val="auto"/>
          <w:kern w:val="0"/>
          <w:sz w:val="28"/>
          <w:szCs w:val="21"/>
          <w:shd w:val="clear" w:color="auto" w:fill="FFFFFF"/>
          <w:lang w:val="en-US" w:eastAsia="zh-CN" w:bidi="ar"/>
        </w:rPr>
        <w:t>机关运行经费：</w:t>
      </w:r>
      <w:r>
        <w:rPr>
          <w:rFonts w:hint="eastAsia" w:ascii="仿宋" w:hAnsi="仿宋" w:eastAsia="仿宋" w:cstheme="minorBidi"/>
          <w:color w:val="auto"/>
          <w:kern w:val="0"/>
          <w:sz w:val="28"/>
          <w:szCs w:val="28"/>
          <w:shd w:val="clear" w:color="auto" w:fill="FFFFFF"/>
          <w:lang w:val="en-US" w:eastAsia="zh-CN" w:bidi="ar"/>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12"/>
        <w:jc w:val="center"/>
        <w:rPr>
          <w:rFonts w:hint="eastAsia" w:ascii="仿宋" w:hAnsi="仿宋" w:eastAsia="仿宋" w:cstheme="minorBidi"/>
          <w:color w:val="auto"/>
          <w:kern w:val="2"/>
          <w:sz w:val="32"/>
          <w:szCs w:val="22"/>
          <w:lang w:val="en-US" w:eastAsia="zh-CN" w:bidi="ar-SA"/>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rFonts w:hint="eastAsia"/>
          <w:color w:val="auto"/>
          <w:sz w:val="72"/>
          <w:szCs w:val="72"/>
        </w:rPr>
      </w:pPr>
    </w:p>
    <w:p>
      <w:pPr>
        <w:pStyle w:val="12"/>
        <w:jc w:val="center"/>
        <w:rPr>
          <w:rFonts w:hint="eastAsia"/>
          <w:color w:val="auto"/>
          <w:sz w:val="72"/>
          <w:szCs w:val="72"/>
        </w:rPr>
      </w:pPr>
    </w:p>
    <w:p>
      <w:pPr>
        <w:pStyle w:val="12"/>
        <w:jc w:val="center"/>
        <w:rPr>
          <w:rFonts w:hint="eastAsia"/>
          <w:color w:val="auto"/>
          <w:sz w:val="72"/>
          <w:szCs w:val="72"/>
        </w:rPr>
      </w:pPr>
    </w:p>
    <w:p>
      <w:pPr>
        <w:pStyle w:val="12"/>
        <w:jc w:val="center"/>
        <w:rPr>
          <w:rFonts w:hint="eastAsia"/>
          <w:color w:val="auto"/>
          <w:sz w:val="72"/>
          <w:szCs w:val="72"/>
        </w:rPr>
      </w:pPr>
    </w:p>
    <w:p>
      <w:pPr>
        <w:pStyle w:val="12"/>
        <w:jc w:val="center"/>
        <w:rPr>
          <w:color w:val="auto"/>
          <w:sz w:val="72"/>
          <w:szCs w:val="72"/>
        </w:rPr>
      </w:pPr>
      <w:r>
        <w:rPr>
          <w:rFonts w:hint="eastAsia"/>
          <w:color w:val="auto"/>
          <w:sz w:val="72"/>
          <w:szCs w:val="72"/>
        </w:rPr>
        <w:t>第五部分</w:t>
      </w:r>
    </w:p>
    <w:p>
      <w:pPr>
        <w:jc w:val="center"/>
        <w:rPr>
          <w:rFonts w:ascii="黑体" w:eastAsia="黑体" w:cs="黑体"/>
          <w:color w:val="auto"/>
          <w:kern w:val="0"/>
          <w:sz w:val="70"/>
          <w:szCs w:val="70"/>
        </w:rPr>
      </w:pPr>
    </w:p>
    <w:p>
      <w:pPr>
        <w:jc w:val="center"/>
        <w:rPr>
          <w:rFonts w:ascii="黑体" w:eastAsia="黑体" w:cs="黑体"/>
          <w:color w:val="auto"/>
          <w:kern w:val="0"/>
          <w:sz w:val="70"/>
          <w:szCs w:val="70"/>
        </w:rPr>
      </w:pPr>
      <w:r>
        <w:rPr>
          <w:rFonts w:hint="eastAsia" w:ascii="黑体" w:eastAsia="黑体" w:cs="黑体"/>
          <w:color w:val="auto"/>
          <w:kern w:val="0"/>
          <w:sz w:val="70"/>
          <w:szCs w:val="70"/>
        </w:rPr>
        <w:t>附件</w:t>
      </w:r>
    </w:p>
    <w:p>
      <w:pPr>
        <w:widowControl/>
        <w:jc w:val="left"/>
        <w:rPr>
          <w:rFonts w:ascii="黑体" w:eastAsia="黑体" w:cs="黑体"/>
          <w:color w:val="auto"/>
          <w:kern w:val="0"/>
          <w:sz w:val="70"/>
          <w:szCs w:val="70"/>
        </w:rPr>
      </w:pPr>
      <w:r>
        <w:rPr>
          <w:rFonts w:ascii="黑体" w:eastAsia="黑体" w:cs="黑体"/>
          <w:color w:val="auto"/>
          <w:kern w:val="0"/>
          <w:sz w:val="70"/>
          <w:szCs w:val="70"/>
        </w:rPr>
        <w:br w:type="page"/>
      </w:r>
    </w:p>
    <w:p>
      <w:pPr>
        <w:jc w:val="center"/>
        <w:rPr>
          <w:rFonts w:ascii="黑体" w:eastAsia="黑体" w:cs="黑体"/>
          <w:color w:val="auto"/>
          <w:kern w:val="0"/>
          <w:sz w:val="70"/>
          <w:szCs w:val="70"/>
        </w:rPr>
      </w:pPr>
    </w:p>
    <w:p>
      <w:pPr>
        <w:ind w:firstLine="640" w:firstLineChars="200"/>
        <w:jc w:val="center"/>
        <w:rPr>
          <w:rFonts w:cs="黑体" w:asciiTheme="minorEastAsia" w:hAnsiTheme="minorEastAsia"/>
          <w:b/>
          <w:color w:val="auto"/>
          <w:kern w:val="0"/>
          <w:sz w:val="32"/>
          <w:szCs w:val="32"/>
        </w:rPr>
      </w:pPr>
      <w:r>
        <w:rPr>
          <w:rFonts w:hint="eastAsia" w:cs="黑体" w:asciiTheme="minorEastAsia" w:hAnsiTheme="minorEastAsia"/>
          <w:b/>
          <w:color w:val="auto"/>
          <w:kern w:val="0"/>
          <w:sz w:val="32"/>
          <w:szCs w:val="32"/>
        </w:rPr>
        <w:t>2019年度部门整体支出绩效评价报告</w:t>
      </w:r>
    </w:p>
    <w:p>
      <w:pPr>
        <w:spacing w:line="580" w:lineRule="exact"/>
        <w:ind w:firstLine="600" w:firstLineChars="200"/>
        <w:rPr>
          <w:rFonts w:eastAsia="黑体"/>
          <w:color w:val="auto"/>
          <w:sz w:val="30"/>
          <w:szCs w:val="30"/>
        </w:rPr>
      </w:pPr>
      <w:r>
        <w:rPr>
          <w:rFonts w:eastAsia="黑体"/>
          <w:color w:val="auto"/>
          <w:sz w:val="30"/>
          <w:szCs w:val="30"/>
        </w:rPr>
        <w:t>一、基本情况</w:t>
      </w:r>
    </w:p>
    <w:p>
      <w:pPr>
        <w:spacing w:line="580" w:lineRule="exact"/>
        <w:ind w:firstLine="600" w:firstLineChars="200"/>
        <w:rPr>
          <w:rFonts w:eastAsia="楷体_GB2312"/>
          <w:b/>
          <w:color w:val="auto"/>
          <w:sz w:val="30"/>
          <w:szCs w:val="30"/>
        </w:rPr>
      </w:pPr>
      <w:r>
        <w:rPr>
          <w:rFonts w:eastAsia="楷体_GB2312"/>
          <w:b/>
          <w:color w:val="auto"/>
          <w:sz w:val="30"/>
          <w:szCs w:val="30"/>
        </w:rPr>
        <w:t>（一）部门（单位）基本情况</w:t>
      </w:r>
    </w:p>
    <w:p>
      <w:pPr>
        <w:pStyle w:val="15"/>
        <w:spacing w:line="580" w:lineRule="exact"/>
        <w:ind w:firstLine="602"/>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lang w:eastAsia="zh-CN"/>
        </w:rPr>
        <w:fldChar w:fldCharType="begin">
          <w:fldData xml:space="preserve">NwBEAEEAMAA1AEUANgAzAEUAMQA4AEMANAA3ADEAMgBBAEUAQwA3ADgAQQBDAEUAMwAzADQAMQA4
ADgAQwBDAA==
</w:fldData>
        </w:fldChar>
      </w:r>
      <w:r>
        <w:rPr>
          <w:rFonts w:hint="eastAsia" w:ascii="仿宋" w:hAnsi="仿宋" w:eastAsia="仿宋" w:cs="仿宋"/>
          <w:b w:val="0"/>
          <w:bCs/>
          <w:color w:val="auto"/>
          <w:sz w:val="28"/>
          <w:szCs w:val="28"/>
          <w:lang w:eastAsia="zh-CN"/>
        </w:rPr>
        <w:instrText xml:space="preserve">Addin 部门基本情况</w:instrText>
      </w:r>
      <w:r>
        <w:rPr>
          <w:rFonts w:hint="eastAsia" w:ascii="仿宋" w:hAnsi="仿宋" w:eastAsia="仿宋" w:cs="仿宋"/>
          <w:b w:val="0"/>
          <w:bCs/>
          <w:color w:val="auto"/>
          <w:sz w:val="28"/>
          <w:szCs w:val="28"/>
          <w:lang w:eastAsia="zh-CN"/>
        </w:rPr>
        <w:fldChar w:fldCharType="separate"/>
      </w:r>
      <w:r>
        <w:rPr>
          <w:rFonts w:hint="eastAsia" w:ascii="仿宋" w:hAnsi="仿宋" w:eastAsia="仿宋" w:cs="仿宋"/>
          <w:b w:val="0"/>
          <w:bCs/>
          <w:color w:val="auto"/>
          <w:sz w:val="28"/>
          <w:szCs w:val="28"/>
          <w:lang w:eastAsia="zh-CN"/>
        </w:rPr>
        <w:t>郴州广播电视大学，创办于1979年，是郴州市政府主办，直属于郴州市教育局，充分利用广播、电视、文字和音像教材、计算机课件及网络等多种媒体进行现代远程教育的新型高等学校，也是湖南广播电视大学的一所分校。我校为全额拨款事业单位，下设办公室、开放教育学院、招生就业指导办公室、教务处、继续教育学院、社区教育办公室、远程教育学院和后勤处。</w:t>
      </w:r>
    </w:p>
    <w:p>
      <w:pPr>
        <w:pStyle w:val="15"/>
        <w:spacing w:line="580" w:lineRule="exact"/>
        <w:ind w:firstLine="602"/>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lang w:val="en-US" w:eastAsia="zh-CN"/>
        </w:rPr>
        <w:t>2019年，我校有编制数75个，实际</w:t>
      </w:r>
      <w:r>
        <w:rPr>
          <w:rFonts w:hint="eastAsia" w:ascii="仿宋" w:hAnsi="仿宋" w:eastAsia="仿宋" w:cs="仿宋"/>
          <w:b w:val="0"/>
          <w:bCs/>
          <w:color w:val="auto"/>
          <w:sz w:val="28"/>
          <w:szCs w:val="28"/>
          <w:lang w:eastAsia="zh-CN"/>
        </w:rPr>
        <w:t>在职职工</w:t>
      </w:r>
      <w:r>
        <w:rPr>
          <w:rFonts w:hint="eastAsia" w:ascii="仿宋" w:hAnsi="仿宋" w:eastAsia="仿宋" w:cs="仿宋"/>
          <w:b w:val="0"/>
          <w:bCs/>
          <w:color w:val="auto"/>
          <w:sz w:val="28"/>
          <w:szCs w:val="28"/>
          <w:lang w:val="en-US" w:eastAsia="zh-CN"/>
        </w:rPr>
        <w:t>65</w:t>
      </w:r>
      <w:r>
        <w:rPr>
          <w:rFonts w:hint="eastAsia" w:ascii="仿宋" w:hAnsi="仿宋" w:eastAsia="仿宋" w:cs="仿宋"/>
          <w:b w:val="0"/>
          <w:bCs/>
          <w:color w:val="auto"/>
          <w:sz w:val="28"/>
          <w:szCs w:val="28"/>
          <w:lang w:eastAsia="zh-CN"/>
        </w:rPr>
        <w:t>人，党委书记1名，校长1名，副校长2名，纪委书记1名，工会主席1名，正处级干部1名，其他教职工5</w:t>
      </w:r>
      <w:r>
        <w:rPr>
          <w:rFonts w:hint="eastAsia" w:ascii="仿宋" w:hAnsi="仿宋" w:eastAsia="仿宋" w:cs="仿宋"/>
          <w:b w:val="0"/>
          <w:bCs/>
          <w:color w:val="auto"/>
          <w:sz w:val="28"/>
          <w:szCs w:val="28"/>
          <w:lang w:val="en-US" w:eastAsia="zh-CN"/>
        </w:rPr>
        <w:t>8</w:t>
      </w:r>
      <w:r>
        <w:rPr>
          <w:rFonts w:hint="eastAsia" w:ascii="仿宋" w:hAnsi="仿宋" w:eastAsia="仿宋" w:cs="仿宋"/>
          <w:b w:val="0"/>
          <w:bCs/>
          <w:color w:val="auto"/>
          <w:sz w:val="28"/>
          <w:szCs w:val="28"/>
          <w:lang w:eastAsia="zh-CN"/>
        </w:rPr>
        <w:t>人。</w:t>
      </w:r>
    </w:p>
    <w:p>
      <w:pPr>
        <w:pStyle w:val="15"/>
        <w:spacing w:line="580" w:lineRule="exact"/>
        <w:ind w:firstLine="602"/>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lang w:eastAsia="zh-CN"/>
        </w:rPr>
        <w:t>郴州广播电视大学将按照建设现代远程开放大学的总目标，立足于面向职业人的教育，坚持声誉和质量是生命，优化服务是根基，强化开放和系统建设是未来，高效运行是保障的办学理念，致力于汇聚优质的教学资源，提供体贴的支持服务，运行高效的办学网络，开展鲜活的科学研究，搭建服务社会成员终身学习的大平台，为构建学习型社会与和谐社会做出更大贡献。</w:t>
      </w:r>
      <w:r>
        <w:rPr>
          <w:rFonts w:hint="eastAsia" w:ascii="仿宋" w:hAnsi="仿宋" w:eastAsia="仿宋" w:cs="仿宋"/>
          <w:b w:val="0"/>
          <w:bCs/>
          <w:color w:val="auto"/>
          <w:sz w:val="28"/>
          <w:szCs w:val="28"/>
          <w:lang w:eastAsia="zh-CN"/>
        </w:rPr>
        <w:fldChar w:fldCharType="end"/>
      </w:r>
    </w:p>
    <w:p>
      <w:pPr>
        <w:pStyle w:val="15"/>
        <w:spacing w:line="580" w:lineRule="exact"/>
        <w:ind w:firstLine="602"/>
        <w:rPr>
          <w:rFonts w:hint="eastAsia" w:eastAsia="楷体_GB2312"/>
          <w:b/>
          <w:color w:val="auto"/>
          <w:sz w:val="30"/>
          <w:szCs w:val="30"/>
          <w:lang w:eastAsia="zh-CN"/>
        </w:rPr>
      </w:pPr>
      <w:r>
        <w:rPr>
          <w:rFonts w:eastAsia="楷体_GB2312"/>
          <w:b/>
          <w:color w:val="auto"/>
          <w:sz w:val="30"/>
          <w:szCs w:val="30"/>
        </w:rPr>
        <w:t>（</w:t>
      </w:r>
      <w:r>
        <w:rPr>
          <w:rFonts w:hint="eastAsia" w:eastAsia="楷体_GB2312"/>
          <w:b/>
          <w:color w:val="auto"/>
          <w:sz w:val="30"/>
          <w:szCs w:val="30"/>
          <w:lang w:eastAsia="zh-CN"/>
        </w:rPr>
        <w:t>二</w:t>
      </w:r>
      <w:r>
        <w:rPr>
          <w:rFonts w:eastAsia="楷体_GB2312"/>
          <w:b/>
          <w:color w:val="auto"/>
          <w:sz w:val="30"/>
          <w:szCs w:val="30"/>
        </w:rPr>
        <w:t>）</w:t>
      </w:r>
      <w:r>
        <w:rPr>
          <w:rFonts w:hint="eastAsia" w:eastAsia="楷体_GB2312"/>
          <w:b/>
          <w:color w:val="auto"/>
          <w:sz w:val="30"/>
          <w:szCs w:val="30"/>
          <w:lang w:eastAsia="zh-CN"/>
        </w:rPr>
        <w:t>部门（单位）年度整体支出绩效目标，市级专项资金绩效目标、其他项目支出（除市级专项资金以外）绩效目标</w:t>
      </w:r>
    </w:p>
    <w:p>
      <w:pPr>
        <w:pStyle w:val="15"/>
        <w:spacing w:line="580" w:lineRule="exact"/>
        <w:ind w:firstLine="602"/>
        <w:rPr>
          <w:rFonts w:hint="eastAsia" w:ascii="仿宋" w:hAnsi="仿宋" w:eastAsia="仿宋" w:cs="仿宋"/>
          <w:b w:val="0"/>
          <w:bCs/>
          <w:color w:val="auto"/>
          <w:sz w:val="28"/>
          <w:szCs w:val="28"/>
          <w:lang w:eastAsia="zh-CN"/>
        </w:rPr>
      </w:pPr>
      <w:r>
        <w:rPr>
          <w:rFonts w:hint="eastAsia" w:ascii="仿宋" w:hAnsi="仿宋" w:eastAsia="仿宋" w:cs="仿宋"/>
          <w:b/>
          <w:bCs w:val="0"/>
          <w:color w:val="auto"/>
          <w:sz w:val="28"/>
          <w:szCs w:val="28"/>
          <w:lang w:val="en-US" w:eastAsia="zh-CN"/>
        </w:rPr>
        <w:t xml:space="preserve"> </w:t>
      </w:r>
      <w:r>
        <w:rPr>
          <w:rFonts w:hint="eastAsia" w:ascii="仿宋" w:hAnsi="仿宋" w:eastAsia="仿宋" w:cs="仿宋"/>
          <w:b/>
          <w:bCs w:val="0"/>
          <w:color w:val="auto"/>
          <w:sz w:val="28"/>
          <w:szCs w:val="28"/>
          <w:lang w:eastAsia="zh-CN"/>
        </w:rPr>
        <w:t>部门（单位）年度整体支出绩效目标：</w:t>
      </w:r>
      <w:r>
        <w:rPr>
          <w:rFonts w:hint="eastAsia" w:ascii="仿宋" w:hAnsi="仿宋" w:eastAsia="仿宋" w:cs="仿宋"/>
          <w:b w:val="0"/>
          <w:bCs/>
          <w:color w:val="auto"/>
          <w:sz w:val="28"/>
          <w:szCs w:val="28"/>
          <w:lang w:eastAsia="zh-CN"/>
        </w:rPr>
        <w:t>年初预算资金总额</w:t>
      </w:r>
      <w:r>
        <w:rPr>
          <w:rFonts w:hint="eastAsia" w:ascii="仿宋" w:hAnsi="仿宋" w:eastAsia="仿宋" w:cs="仿宋"/>
          <w:b w:val="0"/>
          <w:bCs/>
          <w:color w:val="auto"/>
          <w:sz w:val="28"/>
          <w:szCs w:val="28"/>
          <w:lang w:val="en-US" w:eastAsia="zh-CN"/>
        </w:rPr>
        <w:t>2485.91</w:t>
      </w:r>
      <w:r>
        <w:rPr>
          <w:rFonts w:hint="eastAsia" w:ascii="仿宋" w:hAnsi="仿宋" w:eastAsia="仿宋" w:cs="仿宋"/>
          <w:b w:val="0"/>
          <w:bCs/>
          <w:color w:val="auto"/>
          <w:sz w:val="28"/>
          <w:szCs w:val="28"/>
          <w:lang w:eastAsia="zh-CN"/>
        </w:rPr>
        <w:t>万元，其中公共财政拨款收入</w:t>
      </w:r>
      <w:r>
        <w:rPr>
          <w:rFonts w:hint="eastAsia" w:ascii="仿宋" w:hAnsi="仿宋" w:eastAsia="仿宋" w:cs="仿宋"/>
          <w:b w:val="0"/>
          <w:bCs/>
          <w:color w:val="auto"/>
          <w:sz w:val="28"/>
          <w:szCs w:val="28"/>
          <w:lang w:val="en-US" w:eastAsia="zh-CN"/>
        </w:rPr>
        <w:t>2045.91</w:t>
      </w:r>
      <w:r>
        <w:rPr>
          <w:rFonts w:hint="eastAsia" w:ascii="仿宋" w:hAnsi="仿宋" w:eastAsia="仿宋" w:cs="仿宋"/>
          <w:b w:val="0"/>
          <w:bCs/>
          <w:color w:val="auto"/>
          <w:sz w:val="28"/>
          <w:szCs w:val="28"/>
          <w:lang w:eastAsia="zh-CN"/>
        </w:rPr>
        <w:t>万元，纳入专户管理的非税收入拨款</w:t>
      </w:r>
      <w:r>
        <w:rPr>
          <w:rFonts w:hint="eastAsia" w:ascii="仿宋" w:hAnsi="仿宋" w:eastAsia="仿宋" w:cs="仿宋"/>
          <w:b w:val="0"/>
          <w:bCs/>
          <w:color w:val="auto"/>
          <w:sz w:val="28"/>
          <w:szCs w:val="28"/>
          <w:lang w:val="en-US" w:eastAsia="zh-CN"/>
        </w:rPr>
        <w:t>440</w:t>
      </w:r>
      <w:r>
        <w:rPr>
          <w:rFonts w:hint="eastAsia" w:ascii="仿宋" w:hAnsi="仿宋" w:eastAsia="仿宋" w:cs="仿宋"/>
          <w:b w:val="0"/>
          <w:bCs/>
          <w:color w:val="auto"/>
          <w:sz w:val="28"/>
          <w:szCs w:val="28"/>
          <w:lang w:eastAsia="zh-CN"/>
        </w:rPr>
        <w:t>万元；基本支出</w:t>
      </w:r>
      <w:r>
        <w:rPr>
          <w:rFonts w:hint="eastAsia" w:ascii="仿宋" w:hAnsi="仿宋" w:eastAsia="仿宋" w:cs="仿宋"/>
          <w:b w:val="0"/>
          <w:bCs/>
          <w:color w:val="auto"/>
          <w:sz w:val="28"/>
          <w:szCs w:val="28"/>
          <w:lang w:val="en-US" w:eastAsia="zh-CN"/>
        </w:rPr>
        <w:t>911.72</w:t>
      </w:r>
      <w:r>
        <w:rPr>
          <w:rFonts w:hint="eastAsia" w:ascii="仿宋" w:hAnsi="仿宋" w:eastAsia="仿宋" w:cs="仿宋"/>
          <w:b w:val="0"/>
          <w:bCs/>
          <w:color w:val="auto"/>
          <w:sz w:val="28"/>
          <w:szCs w:val="28"/>
          <w:lang w:eastAsia="zh-CN"/>
        </w:rPr>
        <w:t>万元，项目支出</w:t>
      </w:r>
      <w:r>
        <w:rPr>
          <w:rFonts w:hint="eastAsia" w:ascii="仿宋" w:hAnsi="仿宋" w:eastAsia="仿宋" w:cs="仿宋"/>
          <w:b w:val="0"/>
          <w:bCs/>
          <w:color w:val="auto"/>
          <w:sz w:val="28"/>
          <w:szCs w:val="28"/>
          <w:lang w:val="en-US" w:eastAsia="zh-CN"/>
        </w:rPr>
        <w:t>1541.19</w:t>
      </w:r>
      <w:r>
        <w:rPr>
          <w:rFonts w:hint="eastAsia" w:ascii="仿宋" w:hAnsi="仿宋" w:eastAsia="仿宋" w:cs="仿宋"/>
          <w:b w:val="0"/>
          <w:bCs/>
          <w:color w:val="auto"/>
          <w:sz w:val="28"/>
          <w:szCs w:val="28"/>
          <w:lang w:eastAsia="zh-CN"/>
        </w:rPr>
        <w:t>万元。</w:t>
      </w:r>
    </w:p>
    <w:p>
      <w:pPr>
        <w:pStyle w:val="15"/>
        <w:spacing w:line="580" w:lineRule="exact"/>
        <w:ind w:firstLine="602"/>
        <w:rPr>
          <w:rFonts w:hint="eastAsia" w:ascii="仿宋" w:hAnsi="仿宋" w:eastAsia="仿宋" w:cs="仿宋"/>
          <w:b w:val="0"/>
          <w:bCs/>
          <w:color w:val="auto"/>
          <w:sz w:val="28"/>
          <w:szCs w:val="28"/>
          <w:lang w:eastAsia="zh-CN"/>
        </w:rPr>
      </w:pPr>
      <w:r>
        <w:rPr>
          <w:rFonts w:hint="eastAsia" w:ascii="仿宋" w:hAnsi="仿宋" w:eastAsia="仿宋" w:cs="仿宋"/>
          <w:b/>
          <w:bCs w:val="0"/>
          <w:color w:val="auto"/>
          <w:sz w:val="28"/>
          <w:szCs w:val="28"/>
          <w:lang w:eastAsia="zh-CN"/>
        </w:rPr>
        <w:t>市级专项资金绩效目标：</w:t>
      </w:r>
      <w:r>
        <w:rPr>
          <w:rFonts w:hint="eastAsia" w:ascii="仿宋" w:hAnsi="仿宋" w:eastAsia="仿宋" w:cs="仿宋"/>
          <w:b w:val="0"/>
          <w:bCs/>
          <w:color w:val="auto"/>
          <w:sz w:val="28"/>
          <w:szCs w:val="28"/>
          <w:lang w:eastAsia="zh-CN"/>
        </w:rPr>
        <w:t>业务工作专项资金年初预算</w:t>
      </w:r>
      <w:r>
        <w:rPr>
          <w:rFonts w:hint="eastAsia" w:ascii="仿宋" w:hAnsi="仿宋" w:eastAsia="仿宋" w:cs="仿宋"/>
          <w:b w:val="0"/>
          <w:bCs/>
          <w:color w:val="auto"/>
          <w:sz w:val="28"/>
          <w:szCs w:val="28"/>
          <w:lang w:val="en-US" w:eastAsia="zh-CN"/>
        </w:rPr>
        <w:t>123万元，在2019年9月收回28.2万元，加上上年结转资金146.36万元，2019年全年预算数为240.74万元，全年执行数为234.39万元，执行率达到97.4%；教师培训专项资金年初预算为650万元，上年结转资金112.18万元，全年预算数为762.18万元，全年执行数为755.50万元，执行率达到99.12%；</w:t>
      </w:r>
      <w:r>
        <w:rPr>
          <w:rFonts w:hint="eastAsia" w:ascii="仿宋" w:hAnsi="仿宋" w:eastAsia="仿宋" w:cs="仿宋"/>
          <w:b w:val="0"/>
          <w:bCs/>
          <w:color w:val="auto"/>
          <w:sz w:val="28"/>
          <w:szCs w:val="28"/>
          <w:lang w:eastAsia="zh-CN"/>
        </w:rPr>
        <w:t>教育专项中的教师发展中心南校区明德楼提质改造资金年初预算为</w:t>
      </w:r>
      <w:r>
        <w:rPr>
          <w:rFonts w:hint="eastAsia" w:ascii="仿宋" w:hAnsi="仿宋" w:eastAsia="仿宋" w:cs="仿宋"/>
          <w:b w:val="0"/>
          <w:bCs/>
          <w:color w:val="auto"/>
          <w:sz w:val="28"/>
          <w:szCs w:val="28"/>
          <w:lang w:val="en-US" w:eastAsia="zh-CN"/>
        </w:rPr>
        <w:t>165万元，全年预算数及执行数都为165万元，执行率达到100%；</w:t>
      </w:r>
      <w:r>
        <w:rPr>
          <w:rFonts w:hint="eastAsia" w:ascii="仿宋" w:hAnsi="仿宋" w:eastAsia="仿宋" w:cs="仿宋"/>
          <w:b w:val="0"/>
          <w:bCs/>
          <w:color w:val="auto"/>
          <w:sz w:val="28"/>
          <w:szCs w:val="28"/>
          <w:lang w:eastAsia="zh-CN"/>
        </w:rPr>
        <w:t>教育专项中的</w:t>
      </w:r>
      <w:r>
        <w:rPr>
          <w:rFonts w:hint="eastAsia" w:ascii="仿宋" w:hAnsi="仿宋" w:eastAsia="仿宋" w:cs="仿宋"/>
          <w:b w:val="0"/>
          <w:bCs/>
          <w:color w:val="auto"/>
          <w:sz w:val="28"/>
          <w:szCs w:val="28"/>
          <w:lang w:val="en-US" w:eastAsia="zh-CN"/>
        </w:rPr>
        <w:t>教师发展中心南校区信息化建设</w:t>
      </w:r>
      <w:r>
        <w:rPr>
          <w:rFonts w:hint="eastAsia" w:ascii="仿宋" w:hAnsi="仿宋" w:eastAsia="仿宋" w:cs="仿宋"/>
          <w:b w:val="0"/>
          <w:bCs/>
          <w:color w:val="auto"/>
          <w:sz w:val="28"/>
          <w:szCs w:val="28"/>
          <w:lang w:eastAsia="zh-CN"/>
        </w:rPr>
        <w:t>资金</w:t>
      </w:r>
      <w:r>
        <w:rPr>
          <w:rFonts w:hint="eastAsia" w:ascii="仿宋" w:hAnsi="仿宋" w:eastAsia="仿宋" w:cs="仿宋"/>
          <w:b w:val="0"/>
          <w:bCs/>
          <w:color w:val="auto"/>
          <w:sz w:val="28"/>
          <w:szCs w:val="28"/>
          <w:lang w:val="en-US" w:eastAsia="zh-CN"/>
        </w:rPr>
        <w:t>175</w:t>
      </w:r>
      <w:r>
        <w:rPr>
          <w:rFonts w:hint="eastAsia" w:ascii="仿宋" w:hAnsi="仿宋" w:eastAsia="仿宋" w:cs="仿宋"/>
          <w:b w:val="0"/>
          <w:bCs/>
          <w:color w:val="auto"/>
          <w:sz w:val="28"/>
          <w:szCs w:val="28"/>
          <w:lang w:eastAsia="zh-CN"/>
        </w:rPr>
        <w:t>万元，全年预算数为</w:t>
      </w:r>
      <w:r>
        <w:rPr>
          <w:rFonts w:hint="eastAsia" w:ascii="仿宋" w:hAnsi="仿宋" w:eastAsia="仿宋" w:cs="仿宋"/>
          <w:b w:val="0"/>
          <w:bCs/>
          <w:color w:val="auto"/>
          <w:sz w:val="28"/>
          <w:szCs w:val="28"/>
          <w:lang w:val="en-US" w:eastAsia="zh-CN"/>
        </w:rPr>
        <w:t>175万元，全年执行数为157.08万元，执行率为89.76%；教育专项中的教师发展中心房屋防水及外墙装修年初预算为60万元，上年结转资金为48.53万元，全年预算数为108.53万元，执行率为88.17%</w:t>
      </w:r>
      <w:r>
        <w:rPr>
          <w:rFonts w:hint="eastAsia" w:ascii="仿宋" w:hAnsi="仿宋" w:eastAsia="仿宋" w:cs="仿宋"/>
          <w:b w:val="0"/>
          <w:bCs/>
          <w:color w:val="auto"/>
          <w:sz w:val="28"/>
          <w:szCs w:val="28"/>
          <w:lang w:eastAsia="zh-CN"/>
        </w:rPr>
        <w:t>。</w:t>
      </w:r>
    </w:p>
    <w:p>
      <w:pPr>
        <w:pStyle w:val="15"/>
        <w:spacing w:line="580" w:lineRule="exact"/>
        <w:ind w:firstLine="602"/>
        <w:rPr>
          <w:rFonts w:hint="default" w:ascii="仿宋" w:hAnsi="仿宋" w:eastAsia="仿宋" w:cs="仿宋"/>
          <w:b w:val="0"/>
          <w:bCs/>
          <w:color w:val="auto"/>
          <w:sz w:val="28"/>
          <w:szCs w:val="28"/>
          <w:lang w:val="en-US" w:eastAsia="zh-CN"/>
        </w:rPr>
      </w:pPr>
      <w:r>
        <w:rPr>
          <w:rFonts w:hint="eastAsia" w:ascii="仿宋" w:hAnsi="仿宋" w:eastAsia="仿宋" w:cs="仿宋"/>
          <w:b/>
          <w:bCs w:val="0"/>
          <w:color w:val="auto"/>
          <w:sz w:val="28"/>
          <w:szCs w:val="28"/>
          <w:lang w:val="en-US" w:eastAsia="zh-CN"/>
        </w:rPr>
        <w:t>其他项目支出（除市级专项资金以外）绩效目标：</w:t>
      </w:r>
      <w:r>
        <w:rPr>
          <w:rFonts w:hint="eastAsia" w:ascii="仿宋" w:hAnsi="仿宋" w:eastAsia="仿宋" w:cs="仿宋"/>
          <w:b w:val="0"/>
          <w:bCs/>
          <w:color w:val="auto"/>
          <w:sz w:val="28"/>
          <w:szCs w:val="28"/>
          <w:lang w:val="en-US" w:eastAsia="zh-CN"/>
        </w:rPr>
        <w:t>运行维护专项年初预算资金为440万元，当年财政实际拨款（纳入专户管理资金）939.79万元，上年结转资金307.91万元，2019年全年预算数为1247.70万元，全年执行数为1237.63万元，执行率达到99.19%；2019年第四批教育综合发展专项资金（校园足球）全年预算数为17万元，全年执行数为17万元，执行率100%。</w:t>
      </w:r>
    </w:p>
    <w:p>
      <w:pPr>
        <w:pStyle w:val="15"/>
        <w:spacing w:line="580" w:lineRule="exact"/>
        <w:ind w:firstLine="600"/>
        <w:rPr>
          <w:rFonts w:ascii="Times New Roman" w:hAnsi="Times New Roman" w:eastAsia="黑体"/>
          <w:color w:val="auto"/>
          <w:sz w:val="30"/>
          <w:szCs w:val="30"/>
        </w:rPr>
      </w:pPr>
      <w:r>
        <w:rPr>
          <w:rFonts w:ascii="Times New Roman" w:hAnsi="Times New Roman" w:eastAsia="黑体"/>
          <w:color w:val="auto"/>
          <w:sz w:val="30"/>
          <w:szCs w:val="30"/>
        </w:rPr>
        <w:t>二、一般公共预算支出情况</w:t>
      </w:r>
    </w:p>
    <w:p>
      <w:pPr>
        <w:pStyle w:val="15"/>
        <w:spacing w:line="580" w:lineRule="exact"/>
        <w:ind w:firstLine="602"/>
        <w:rPr>
          <w:rFonts w:ascii="Times New Roman" w:hAnsi="Times New Roman" w:eastAsia="楷体_GB2312"/>
          <w:b/>
          <w:color w:val="auto"/>
          <w:sz w:val="30"/>
          <w:szCs w:val="30"/>
        </w:rPr>
      </w:pPr>
      <w:r>
        <w:rPr>
          <w:rFonts w:ascii="Times New Roman" w:hAnsi="Times New Roman" w:eastAsia="楷体_GB2312"/>
          <w:b/>
          <w:color w:val="auto"/>
          <w:sz w:val="30"/>
          <w:szCs w:val="30"/>
        </w:rPr>
        <w:t>（一）基本支出情况</w:t>
      </w:r>
    </w:p>
    <w:p>
      <w:pPr>
        <w:pStyle w:val="15"/>
        <w:spacing w:line="580" w:lineRule="exact"/>
        <w:ind w:firstLine="602"/>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lang w:eastAsia="zh-CN"/>
        </w:rPr>
        <w:t>基本支出是保障机构正常运转、完成日常工作任务而发生基本支出是保障机构正常运转、完成日常工作任务而发生的各项支出，包括用于在职和离退休人员基本工资、津贴补贴等人员经费以及办公费、印刷费、水电费、办公设备购置等日常公用经费。2019年基本支出年初预算安排</w:t>
      </w:r>
      <w:r>
        <w:rPr>
          <w:rFonts w:hint="eastAsia" w:ascii="仿宋" w:hAnsi="仿宋" w:eastAsia="仿宋" w:cs="仿宋"/>
          <w:b w:val="0"/>
          <w:bCs/>
          <w:color w:val="auto"/>
          <w:sz w:val="28"/>
          <w:szCs w:val="28"/>
          <w:lang w:val="en-US" w:eastAsia="zh-CN"/>
        </w:rPr>
        <w:t>944.72</w:t>
      </w:r>
      <w:r>
        <w:rPr>
          <w:rFonts w:hint="eastAsia" w:ascii="仿宋" w:hAnsi="仿宋" w:eastAsia="仿宋" w:cs="仿宋"/>
          <w:b w:val="0"/>
          <w:bCs/>
          <w:color w:val="auto"/>
          <w:sz w:val="28"/>
          <w:szCs w:val="28"/>
          <w:lang w:eastAsia="zh-CN"/>
        </w:rPr>
        <w:t>万元，调整预算数为</w:t>
      </w:r>
      <w:r>
        <w:rPr>
          <w:rFonts w:hint="eastAsia" w:ascii="仿宋" w:hAnsi="仿宋" w:eastAsia="仿宋" w:cs="仿宋"/>
          <w:b w:val="0"/>
          <w:bCs/>
          <w:color w:val="auto"/>
          <w:sz w:val="28"/>
          <w:szCs w:val="28"/>
          <w:lang w:val="en-US" w:eastAsia="zh-CN"/>
        </w:rPr>
        <w:t>1828.98万元，</w:t>
      </w:r>
      <w:r>
        <w:rPr>
          <w:rFonts w:hint="eastAsia" w:ascii="仿宋" w:hAnsi="仿宋" w:eastAsia="仿宋" w:cs="仿宋"/>
          <w:b w:val="0"/>
          <w:bCs/>
          <w:color w:val="auto"/>
          <w:sz w:val="28"/>
          <w:szCs w:val="28"/>
          <w:lang w:eastAsia="zh-CN"/>
        </w:rPr>
        <w:t>实际支出</w:t>
      </w:r>
      <w:r>
        <w:rPr>
          <w:rFonts w:hint="eastAsia" w:ascii="仿宋" w:hAnsi="仿宋" w:eastAsia="仿宋" w:cs="仿宋"/>
          <w:b w:val="0"/>
          <w:bCs/>
          <w:color w:val="auto"/>
          <w:sz w:val="28"/>
          <w:szCs w:val="28"/>
          <w:lang w:val="en-US" w:eastAsia="zh-CN"/>
        </w:rPr>
        <w:t>1793.05</w:t>
      </w:r>
      <w:r>
        <w:rPr>
          <w:rFonts w:hint="eastAsia" w:ascii="仿宋" w:hAnsi="仿宋" w:eastAsia="仿宋" w:cs="仿宋"/>
          <w:b w:val="0"/>
          <w:bCs/>
          <w:color w:val="auto"/>
          <w:sz w:val="28"/>
          <w:szCs w:val="28"/>
          <w:lang w:eastAsia="zh-CN"/>
        </w:rPr>
        <w:t>万元，完成全年预算数的</w:t>
      </w:r>
      <w:r>
        <w:rPr>
          <w:rFonts w:hint="eastAsia" w:ascii="仿宋" w:hAnsi="仿宋" w:eastAsia="仿宋" w:cs="仿宋"/>
          <w:b w:val="0"/>
          <w:bCs/>
          <w:color w:val="auto"/>
          <w:sz w:val="28"/>
          <w:szCs w:val="28"/>
          <w:lang w:val="en-US" w:eastAsia="zh-CN"/>
        </w:rPr>
        <w:t>98.04</w:t>
      </w:r>
      <w:r>
        <w:rPr>
          <w:rFonts w:hint="eastAsia" w:ascii="仿宋" w:hAnsi="仿宋" w:eastAsia="仿宋" w:cs="仿宋"/>
          <w:b w:val="0"/>
          <w:bCs/>
          <w:color w:val="auto"/>
          <w:sz w:val="28"/>
          <w:szCs w:val="28"/>
          <w:lang w:eastAsia="zh-CN"/>
        </w:rPr>
        <w:t>%。人员经费支出</w:t>
      </w:r>
      <w:r>
        <w:rPr>
          <w:rFonts w:hint="eastAsia" w:ascii="仿宋" w:hAnsi="仿宋" w:eastAsia="仿宋" w:cs="仿宋"/>
          <w:b w:val="0"/>
          <w:bCs/>
          <w:color w:val="auto"/>
          <w:sz w:val="28"/>
          <w:szCs w:val="28"/>
          <w:lang w:val="en-US" w:eastAsia="zh-CN"/>
        </w:rPr>
        <w:t>1394.62</w:t>
      </w:r>
      <w:r>
        <w:rPr>
          <w:rFonts w:hint="eastAsia" w:ascii="仿宋" w:hAnsi="仿宋" w:eastAsia="仿宋" w:cs="仿宋"/>
          <w:b w:val="0"/>
          <w:bCs/>
          <w:color w:val="auto"/>
          <w:sz w:val="28"/>
          <w:szCs w:val="28"/>
          <w:lang w:eastAsia="zh-CN"/>
        </w:rPr>
        <w:t>万元，占基本支出的</w:t>
      </w:r>
      <w:r>
        <w:rPr>
          <w:rFonts w:hint="eastAsia" w:ascii="仿宋" w:hAnsi="仿宋" w:eastAsia="仿宋" w:cs="仿宋"/>
          <w:b w:val="0"/>
          <w:bCs/>
          <w:color w:val="auto"/>
          <w:sz w:val="28"/>
          <w:szCs w:val="28"/>
          <w:lang w:val="en-US" w:eastAsia="zh-CN"/>
        </w:rPr>
        <w:t>77.78</w:t>
      </w:r>
      <w:r>
        <w:rPr>
          <w:rFonts w:hint="eastAsia" w:ascii="仿宋" w:hAnsi="仿宋" w:eastAsia="仿宋" w:cs="仿宋"/>
          <w:b w:val="0"/>
          <w:bCs/>
          <w:color w:val="auto"/>
          <w:sz w:val="28"/>
          <w:szCs w:val="28"/>
          <w:lang w:eastAsia="zh-CN"/>
        </w:rPr>
        <w:t>%；日常公用经费支出</w:t>
      </w:r>
      <w:r>
        <w:rPr>
          <w:rFonts w:hint="eastAsia" w:ascii="仿宋" w:hAnsi="仿宋" w:eastAsia="仿宋" w:cs="仿宋"/>
          <w:b w:val="0"/>
          <w:bCs/>
          <w:color w:val="auto"/>
          <w:sz w:val="28"/>
          <w:szCs w:val="28"/>
          <w:lang w:val="en-US" w:eastAsia="zh-CN"/>
        </w:rPr>
        <w:t>398.43</w:t>
      </w:r>
      <w:r>
        <w:rPr>
          <w:rFonts w:hint="eastAsia" w:ascii="仿宋" w:hAnsi="仿宋" w:eastAsia="仿宋" w:cs="仿宋"/>
          <w:b w:val="0"/>
          <w:bCs/>
          <w:color w:val="auto"/>
          <w:sz w:val="28"/>
          <w:szCs w:val="28"/>
          <w:lang w:eastAsia="zh-CN"/>
        </w:rPr>
        <w:t>万元，占基本支出的</w:t>
      </w:r>
      <w:r>
        <w:rPr>
          <w:rFonts w:hint="eastAsia" w:ascii="仿宋" w:hAnsi="仿宋" w:eastAsia="仿宋" w:cs="仿宋"/>
          <w:b w:val="0"/>
          <w:bCs/>
          <w:color w:val="auto"/>
          <w:sz w:val="28"/>
          <w:szCs w:val="28"/>
          <w:lang w:val="en-US" w:eastAsia="zh-CN"/>
        </w:rPr>
        <w:t>22.22</w:t>
      </w:r>
      <w:r>
        <w:rPr>
          <w:rFonts w:hint="eastAsia" w:ascii="仿宋" w:hAnsi="仿宋" w:eastAsia="仿宋" w:cs="仿宋"/>
          <w:b w:val="0"/>
          <w:bCs/>
          <w:color w:val="auto"/>
          <w:sz w:val="28"/>
          <w:szCs w:val="28"/>
          <w:lang w:eastAsia="zh-CN"/>
        </w:rPr>
        <w:t>%。</w:t>
      </w:r>
    </w:p>
    <w:p>
      <w:pPr>
        <w:pStyle w:val="15"/>
        <w:spacing w:line="580" w:lineRule="exact"/>
        <w:ind w:firstLine="602"/>
        <w:rPr>
          <w:rFonts w:ascii="Times New Roman" w:hAnsi="Times New Roman" w:eastAsia="楷体_GB2312"/>
          <w:b/>
          <w:color w:val="auto"/>
          <w:sz w:val="30"/>
          <w:szCs w:val="30"/>
        </w:rPr>
      </w:pPr>
      <w:r>
        <w:rPr>
          <w:rFonts w:ascii="Times New Roman" w:hAnsi="Times New Roman" w:eastAsia="楷体_GB2312"/>
          <w:b/>
          <w:color w:val="auto"/>
          <w:sz w:val="30"/>
          <w:szCs w:val="30"/>
        </w:rPr>
        <w:t>（二）项目支出情况</w:t>
      </w:r>
    </w:p>
    <w:p>
      <w:pPr>
        <w:spacing w:line="58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rPr>
        <w:t>一是</w:t>
      </w:r>
      <w:r>
        <w:rPr>
          <w:rFonts w:hint="eastAsia" w:ascii="仿宋" w:hAnsi="仿宋" w:eastAsia="仿宋" w:cs="仿宋"/>
          <w:b/>
          <w:bCs/>
          <w:color w:val="auto"/>
          <w:sz w:val="28"/>
          <w:szCs w:val="28"/>
          <w:lang w:val="en-US" w:eastAsia="zh-CN"/>
        </w:rPr>
        <w:t>2019</w:t>
      </w:r>
      <w:r>
        <w:rPr>
          <w:rFonts w:hint="eastAsia" w:ascii="仿宋" w:hAnsi="仿宋" w:eastAsia="仿宋" w:cs="仿宋"/>
          <w:b/>
          <w:bCs/>
          <w:color w:val="auto"/>
          <w:sz w:val="28"/>
          <w:szCs w:val="28"/>
        </w:rPr>
        <w:t>年度市级专项资金分配安排和使用管理情况</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p>
    <w:p>
      <w:pPr>
        <w:spacing w:line="580" w:lineRule="exact"/>
        <w:ind w:firstLine="560" w:firstLineChars="20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1、2019年度</w:t>
      </w:r>
      <w:r>
        <w:rPr>
          <w:rFonts w:hint="eastAsia" w:ascii="仿宋" w:hAnsi="仿宋" w:eastAsia="仿宋" w:cs="仿宋"/>
          <w:b/>
          <w:bCs/>
          <w:color w:val="auto"/>
          <w:sz w:val="28"/>
          <w:szCs w:val="28"/>
        </w:rPr>
        <w:t>市级专项资金分配安排</w:t>
      </w:r>
      <w:r>
        <w:rPr>
          <w:rFonts w:hint="eastAsia" w:ascii="仿宋" w:hAnsi="仿宋" w:eastAsia="仿宋" w:cs="仿宋"/>
          <w:b/>
          <w:bCs/>
          <w:color w:val="auto"/>
          <w:sz w:val="28"/>
          <w:szCs w:val="28"/>
          <w:lang w:eastAsia="zh-CN"/>
        </w:rPr>
        <w:t>见下表：</w:t>
      </w:r>
    </w:p>
    <w:tbl>
      <w:tblPr>
        <w:tblStyle w:val="6"/>
        <w:tblW w:w="8400" w:type="dxa"/>
        <w:tblInd w:w="0" w:type="dxa"/>
        <w:tblLayout w:type="autofit"/>
        <w:tblCellMar>
          <w:top w:w="0" w:type="dxa"/>
          <w:left w:w="0" w:type="dxa"/>
          <w:bottom w:w="0" w:type="dxa"/>
          <w:right w:w="0" w:type="dxa"/>
        </w:tblCellMar>
      </w:tblPr>
      <w:tblGrid>
        <w:gridCol w:w="585"/>
        <w:gridCol w:w="2980"/>
        <w:gridCol w:w="3155"/>
        <w:gridCol w:w="1680"/>
      </w:tblGrid>
      <w:tr>
        <w:tblPrEx>
          <w:tblCellMar>
            <w:top w:w="0" w:type="dxa"/>
            <w:left w:w="0" w:type="dxa"/>
            <w:bottom w:w="0" w:type="dxa"/>
            <w:right w:w="0" w:type="dxa"/>
          </w:tblCellMar>
        </w:tblPrEx>
        <w:trPr>
          <w:trHeight w:val="480" w:hRule="atLeast"/>
        </w:trPr>
        <w:tc>
          <w:tcPr>
            <w:tcW w:w="8400"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auto"/>
                <w:sz w:val="32"/>
                <w:szCs w:val="32"/>
                <w:u w:val="none"/>
              </w:rPr>
            </w:pPr>
            <w:r>
              <w:rPr>
                <w:rFonts w:hint="eastAsia" w:ascii="仿宋_GB2312" w:hAnsi="宋体" w:eastAsia="仿宋_GB2312" w:cs="仿宋_GB2312"/>
                <w:b/>
                <w:i w:val="0"/>
                <w:color w:val="auto"/>
                <w:kern w:val="0"/>
                <w:sz w:val="32"/>
                <w:szCs w:val="32"/>
                <w:u w:val="none"/>
                <w:lang w:val="en-US" w:eastAsia="zh-CN" w:bidi="ar"/>
              </w:rPr>
              <w:t>2019年度市级专项资金分配安排明细表</w:t>
            </w:r>
          </w:p>
        </w:tc>
      </w:tr>
      <w:tr>
        <w:tblPrEx>
          <w:tblCellMar>
            <w:top w:w="0" w:type="dxa"/>
            <w:left w:w="0" w:type="dxa"/>
            <w:bottom w:w="0" w:type="dxa"/>
            <w:right w:w="0"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专项资金名称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金额（万元）</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郴财教指【2019】003号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教师培训专项资金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650</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郴财教指【2019】003号</w:t>
            </w:r>
          </w:p>
        </w:tc>
        <w:tc>
          <w:tcPr>
            <w:tcW w:w="3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教师发展中心南校区明德楼提质改造</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165</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郴财教指【2019】003号</w:t>
            </w:r>
          </w:p>
        </w:tc>
        <w:tc>
          <w:tcPr>
            <w:tcW w:w="3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教师发展中心南校区信息化建设</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175</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郴财教指【2019】003号</w:t>
            </w:r>
          </w:p>
        </w:tc>
        <w:tc>
          <w:tcPr>
            <w:tcW w:w="3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教师发展中心房屋防水及外墙装修</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1050</w:t>
            </w:r>
          </w:p>
        </w:tc>
      </w:tr>
    </w:tbl>
    <w:p>
      <w:pPr>
        <w:keepNext w:val="0"/>
        <w:keepLines w:val="0"/>
        <w:widowControl/>
        <w:suppressLineNumbers w:val="0"/>
        <w:ind w:firstLine="560" w:firstLineChars="200"/>
        <w:jc w:val="left"/>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2、2019年度</w:t>
      </w:r>
      <w:r>
        <w:rPr>
          <w:rFonts w:hint="eastAsia" w:ascii="仿宋" w:hAnsi="仿宋" w:eastAsia="仿宋" w:cs="仿宋"/>
          <w:b/>
          <w:bCs/>
          <w:color w:val="auto"/>
          <w:sz w:val="28"/>
          <w:szCs w:val="28"/>
        </w:rPr>
        <w:t>市级专项资金</w:t>
      </w:r>
      <w:r>
        <w:rPr>
          <w:rFonts w:hint="eastAsia" w:ascii="仿宋" w:hAnsi="仿宋" w:eastAsia="仿宋" w:cs="仿宋"/>
          <w:b/>
          <w:bCs/>
          <w:color w:val="auto"/>
          <w:sz w:val="28"/>
          <w:szCs w:val="28"/>
          <w:lang w:eastAsia="zh-CN"/>
        </w:rPr>
        <w:t>使用管理情况如下：</w:t>
      </w:r>
    </w:p>
    <w:p>
      <w:pPr>
        <w:keepNext w:val="0"/>
        <w:keepLines w:val="0"/>
        <w:widowControl/>
        <w:suppressLineNumbers w:val="0"/>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教师培训专项资金：</w:t>
      </w:r>
      <w:r>
        <w:rPr>
          <w:rFonts w:hint="eastAsia" w:ascii="仿宋" w:hAnsi="仿宋" w:eastAsia="仿宋" w:cs="仿宋"/>
          <w:color w:val="auto"/>
          <w:sz w:val="28"/>
          <w:szCs w:val="28"/>
          <w:lang w:val="en-US" w:eastAsia="zh-CN"/>
        </w:rPr>
        <w:t>该项目资金年初预算为650万元，实际拨款650万元，2019年实际支出643.32万元，余6.68万元结转至2020年。资金使用明细为：支付各类培训班费用为607.49万元，支付为服务教师培训工作而发生的人员差旅费、办公费、劳务费、公务接待带费、交通费等共计35.83万元。</w:t>
      </w:r>
    </w:p>
    <w:p>
      <w:pPr>
        <w:keepNext w:val="0"/>
        <w:keepLines w:val="0"/>
        <w:widowControl/>
        <w:suppressLineNumbers w:val="0"/>
        <w:ind w:firstLine="560" w:firstLineChars="200"/>
        <w:jc w:val="left"/>
        <w:rPr>
          <w:rFonts w:hint="eastAsia" w:ascii="仿宋" w:hAnsi="仿宋" w:eastAsia="仿宋" w:cs="仿宋"/>
          <w:color w:val="auto"/>
          <w:sz w:val="28"/>
          <w:szCs w:val="28"/>
          <w:lang w:val="en-US" w:eastAsia="zh-CN"/>
        </w:rPr>
      </w:pPr>
      <w:r>
        <w:rPr>
          <w:rFonts w:hint="default" w:ascii="仿宋" w:hAnsi="仿宋" w:eastAsia="仿宋" w:cs="仿宋"/>
          <w:b/>
          <w:bCs/>
          <w:color w:val="auto"/>
          <w:sz w:val="28"/>
          <w:szCs w:val="28"/>
          <w:lang w:val="en-US" w:eastAsia="zh-CN"/>
        </w:rPr>
        <w:t>教师发展中心南校区明德楼提质改造</w:t>
      </w:r>
      <w:r>
        <w:rPr>
          <w:rFonts w:hint="eastAsia" w:ascii="仿宋" w:hAnsi="仿宋" w:eastAsia="仿宋" w:cs="仿宋"/>
          <w:b/>
          <w:bCs/>
          <w:color w:val="auto"/>
          <w:sz w:val="28"/>
          <w:szCs w:val="28"/>
          <w:lang w:val="en-US" w:eastAsia="zh-CN"/>
        </w:rPr>
        <w:t>专项资金：</w:t>
      </w:r>
      <w:r>
        <w:rPr>
          <w:rFonts w:hint="eastAsia" w:ascii="仿宋" w:hAnsi="仿宋" w:eastAsia="仿宋" w:cs="仿宋"/>
          <w:color w:val="auto"/>
          <w:sz w:val="28"/>
          <w:szCs w:val="28"/>
          <w:lang w:val="en-US" w:eastAsia="zh-CN"/>
        </w:rPr>
        <w:t>该项目资金年初预算为165万元，实际拨款165万元，实际支出165万元，资金主要用于支付明德楼结构检测费3万元，设计费7.25万元，工程进度款154.75万元。</w:t>
      </w:r>
    </w:p>
    <w:p>
      <w:pPr>
        <w:keepNext w:val="0"/>
        <w:keepLines w:val="0"/>
        <w:widowControl/>
        <w:suppressLineNumbers w:val="0"/>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教师发展中心南校区信息化建设专项资金：</w:t>
      </w:r>
      <w:r>
        <w:rPr>
          <w:rFonts w:hint="eastAsia" w:ascii="仿宋" w:hAnsi="仿宋" w:eastAsia="仿宋" w:cs="仿宋"/>
          <w:color w:val="auto"/>
          <w:sz w:val="28"/>
          <w:szCs w:val="28"/>
          <w:lang w:val="en-US" w:eastAsia="zh-CN"/>
        </w:rPr>
        <w:t>该项目资金年初预算为175万元，实际拨款175万元，实际支出157.08万元，余17.92万元结转至2020年待用于支付到期的项目质保金。资金的使用明细为：支付购买综合楼和教学楼 LED屏采购及安装费用39.71万元，采购及安装南北两校区校园监控及无线覆盖设备金额为33.78万元，北校区二楼大机房建设资金（含购买机房电脑及安装）83.59万元。</w:t>
      </w:r>
    </w:p>
    <w:p>
      <w:pPr>
        <w:keepNext w:val="0"/>
        <w:keepLines w:val="0"/>
        <w:widowControl/>
        <w:suppressLineNumbers w:val="0"/>
        <w:ind w:firstLine="560" w:firstLineChars="200"/>
        <w:jc w:val="left"/>
        <w:rPr>
          <w:rFonts w:hint="default" w:ascii="仿宋" w:hAnsi="仿宋" w:eastAsia="仿宋" w:cs="仿宋"/>
          <w:color w:val="auto"/>
          <w:sz w:val="28"/>
          <w:szCs w:val="28"/>
          <w:lang w:val="en-US" w:eastAsia="zh-CN"/>
        </w:rPr>
      </w:pPr>
      <w:r>
        <w:rPr>
          <w:rFonts w:hint="default" w:ascii="仿宋" w:hAnsi="仿宋" w:eastAsia="仿宋" w:cs="仿宋"/>
          <w:b/>
          <w:bCs/>
          <w:color w:val="auto"/>
          <w:sz w:val="28"/>
          <w:szCs w:val="28"/>
          <w:lang w:val="en-US" w:eastAsia="zh-CN"/>
        </w:rPr>
        <w:t>教师发展中心房屋防水及外墙装修</w:t>
      </w:r>
      <w:r>
        <w:rPr>
          <w:rFonts w:hint="eastAsia" w:ascii="仿宋" w:hAnsi="仿宋" w:eastAsia="仿宋" w:cs="仿宋"/>
          <w:b/>
          <w:bCs/>
          <w:color w:val="auto"/>
          <w:sz w:val="28"/>
          <w:szCs w:val="28"/>
          <w:lang w:val="en-US" w:eastAsia="zh-CN"/>
        </w:rPr>
        <w:t>专项资金：</w:t>
      </w:r>
      <w:r>
        <w:rPr>
          <w:rFonts w:hint="eastAsia" w:ascii="仿宋" w:hAnsi="仿宋" w:eastAsia="仿宋" w:cs="仿宋"/>
          <w:color w:val="auto"/>
          <w:sz w:val="28"/>
          <w:szCs w:val="28"/>
          <w:lang w:val="en-US" w:eastAsia="zh-CN"/>
        </w:rPr>
        <w:t>该项目资金年初预算为60万元，实际拨款60万元，实际支出60万元。资金全部用于支付教师发展中心办公楼、实训楼及师贤楼外墙装修改造工程进度款。</w:t>
      </w:r>
    </w:p>
    <w:p>
      <w:pPr>
        <w:keepNext w:val="0"/>
        <w:keepLines w:val="0"/>
        <w:widowControl/>
        <w:suppressLineNumbers w:val="0"/>
        <w:ind w:firstLine="560"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二是除市级专项资金以外的其他项目支出情况。</w:t>
      </w:r>
    </w:p>
    <w:p>
      <w:pPr>
        <w:keepNext w:val="0"/>
        <w:keepLines w:val="0"/>
        <w:widowControl/>
        <w:suppressLineNumbers w:val="0"/>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除市级专项资金以外的其他项目</w:t>
      </w:r>
      <w:r>
        <w:rPr>
          <w:rFonts w:hint="eastAsia" w:ascii="仿宋" w:hAnsi="仿宋" w:eastAsia="仿宋" w:cs="仿宋"/>
          <w:color w:val="auto"/>
          <w:sz w:val="28"/>
          <w:szCs w:val="28"/>
          <w:lang w:eastAsia="zh-CN"/>
        </w:rPr>
        <w:t>有业务工作经费专项、运行维护专项及2019年第四批教育综合发展（校园足球）专项资金。</w:t>
      </w:r>
    </w:p>
    <w:p>
      <w:pPr>
        <w:keepNext w:val="0"/>
        <w:keepLines w:val="0"/>
        <w:widowControl/>
        <w:suppressLineNumbers w:val="0"/>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业务工作经费：</w:t>
      </w:r>
      <w:r>
        <w:rPr>
          <w:rFonts w:hint="eastAsia" w:ascii="仿宋" w:hAnsi="仿宋" w:eastAsia="仿宋" w:cs="仿宋"/>
          <w:color w:val="auto"/>
          <w:sz w:val="28"/>
          <w:szCs w:val="28"/>
          <w:lang w:val="en-US" w:eastAsia="zh-CN"/>
        </w:rPr>
        <w:t>该项目资金年初预算为123万元，在2019年9月财政收回资金28.2万元，实际可使用的资金为94.8万元，2019年实际支出为88.03万元，余6.77万元结转至2020年。资金使用明细为：支付社区教育“全民终身学习活动周”工作经费15万元；搭建社区教育平台升级服务费用24.64万元；终身学习网2018-2019年两年服务费11.92万元；购买社区教育微课课程及干部教育网络课程费用为14.10万元；支付社区教育办及教师发展中心人员工资8.13万元；购买社区教育办专用设备1.85万元；支付为开展干部教育、社区教育及教师发展中心继续教育业务工作相关的差旅费、办公费、劳务费、水电费、公务接待费等金额为12.39万元。</w:t>
      </w:r>
    </w:p>
    <w:p>
      <w:pPr>
        <w:keepNext w:val="0"/>
        <w:keepLines w:val="0"/>
        <w:widowControl/>
        <w:suppressLineNumbers w:val="0"/>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运行维护专项资金：</w:t>
      </w:r>
      <w:r>
        <w:rPr>
          <w:rFonts w:hint="eastAsia" w:ascii="仿宋" w:hAnsi="仿宋" w:eastAsia="仿宋" w:cs="仿宋"/>
          <w:color w:val="auto"/>
          <w:sz w:val="28"/>
          <w:szCs w:val="28"/>
          <w:lang w:eastAsia="zh-CN"/>
        </w:rPr>
        <w:t>该专项资金主要是我校非税收入纳入财政专户管理的资金，年初预算为</w:t>
      </w:r>
      <w:r>
        <w:rPr>
          <w:rFonts w:hint="eastAsia" w:ascii="仿宋" w:hAnsi="仿宋" w:eastAsia="仿宋" w:cs="仿宋"/>
          <w:color w:val="auto"/>
          <w:sz w:val="28"/>
          <w:szCs w:val="28"/>
          <w:lang w:val="en-US" w:eastAsia="zh-CN"/>
        </w:rPr>
        <w:t>440万元，实际申请下指标金额为939.79万元，主要用改善办学条件，上交国开及省电大办学成本，弥补财政拨款的人员经费不足及公用经费的不足，保障我校正常行政办公运转，提高我校现代化治理能力和水平。</w:t>
      </w:r>
    </w:p>
    <w:p>
      <w:pPr>
        <w:keepNext w:val="0"/>
        <w:keepLines w:val="0"/>
        <w:widowControl/>
        <w:suppressLineNumbers w:val="0"/>
        <w:ind w:firstLine="560" w:firstLineChars="200"/>
        <w:jc w:val="left"/>
        <w:rPr>
          <w:rFonts w:hint="default" w:ascii="仿宋" w:hAnsi="仿宋" w:eastAsia="仿宋" w:cs="仿宋"/>
          <w:color w:val="auto"/>
          <w:sz w:val="28"/>
          <w:szCs w:val="28"/>
          <w:lang w:val="en-US" w:eastAsia="zh-CN"/>
        </w:rPr>
      </w:pPr>
      <w:r>
        <w:rPr>
          <w:rFonts w:hint="eastAsia" w:ascii="仿宋" w:hAnsi="仿宋" w:eastAsia="仿宋" w:cs="仿宋"/>
          <w:b/>
          <w:bCs/>
          <w:color w:val="auto"/>
          <w:sz w:val="28"/>
          <w:szCs w:val="28"/>
          <w:lang w:eastAsia="zh-CN"/>
        </w:rPr>
        <w:t>2019年第四批教育综合发展（校园足球）专项资金：</w:t>
      </w:r>
      <w:r>
        <w:rPr>
          <w:rFonts w:hint="eastAsia" w:ascii="仿宋" w:hAnsi="仿宋" w:eastAsia="仿宋" w:cs="仿宋"/>
          <w:color w:val="auto"/>
          <w:sz w:val="28"/>
          <w:szCs w:val="28"/>
          <w:lang w:eastAsia="zh-CN"/>
        </w:rPr>
        <w:t>指标金额为</w:t>
      </w:r>
      <w:r>
        <w:rPr>
          <w:rFonts w:hint="eastAsia" w:ascii="仿宋" w:hAnsi="仿宋" w:eastAsia="仿宋" w:cs="仿宋"/>
          <w:color w:val="auto"/>
          <w:sz w:val="28"/>
          <w:szCs w:val="28"/>
          <w:lang w:val="en-US" w:eastAsia="zh-CN"/>
        </w:rPr>
        <w:t>17万元，实际支付17万元，全部用于足球培训的相关支出。</w:t>
      </w:r>
    </w:p>
    <w:p>
      <w:pPr>
        <w:pStyle w:val="15"/>
        <w:numPr>
          <w:ilvl w:val="0"/>
          <w:numId w:val="2"/>
        </w:numPr>
        <w:spacing w:line="580" w:lineRule="exact"/>
        <w:ind w:firstLine="600"/>
        <w:rPr>
          <w:rFonts w:ascii="Times New Roman" w:hAnsi="Times New Roman" w:eastAsia="黑体"/>
          <w:color w:val="auto"/>
          <w:sz w:val="30"/>
          <w:szCs w:val="30"/>
        </w:rPr>
      </w:pPr>
      <w:r>
        <w:rPr>
          <w:rFonts w:ascii="Times New Roman" w:hAnsi="Times New Roman" w:eastAsia="黑体"/>
          <w:color w:val="auto"/>
          <w:sz w:val="30"/>
          <w:szCs w:val="30"/>
        </w:rPr>
        <w:t>政府性基金预算支出情况</w:t>
      </w:r>
    </w:p>
    <w:p>
      <w:pPr>
        <w:pStyle w:val="15"/>
        <w:numPr>
          <w:ilvl w:val="0"/>
          <w:numId w:val="0"/>
        </w:numPr>
        <w:spacing w:line="580" w:lineRule="exact"/>
        <w:rPr>
          <w:rFonts w:hint="default" w:ascii="Times New Roman" w:hAnsi="Times New Roman" w:eastAsia="黑体"/>
          <w:color w:val="auto"/>
          <w:sz w:val="30"/>
          <w:szCs w:val="30"/>
          <w:lang w:val="en-US" w:eastAsia="zh-CN"/>
        </w:rPr>
      </w:pPr>
      <w:r>
        <w:rPr>
          <w:rFonts w:hint="eastAsia" w:ascii="Times New Roman" w:hAnsi="Times New Roman" w:eastAsia="黑体"/>
          <w:color w:val="auto"/>
          <w:sz w:val="30"/>
          <w:szCs w:val="30"/>
          <w:lang w:val="en-US" w:eastAsia="zh-CN"/>
        </w:rPr>
        <w:t xml:space="preserve">     无。</w:t>
      </w:r>
    </w:p>
    <w:p>
      <w:pPr>
        <w:pStyle w:val="15"/>
        <w:numPr>
          <w:ilvl w:val="0"/>
          <w:numId w:val="2"/>
        </w:numPr>
        <w:spacing w:line="580" w:lineRule="exact"/>
        <w:ind w:left="0" w:leftChars="0" w:firstLine="600" w:firstLineChars="200"/>
        <w:rPr>
          <w:rFonts w:ascii="Times New Roman" w:hAnsi="Times New Roman" w:eastAsia="黑体"/>
          <w:color w:val="auto"/>
          <w:sz w:val="30"/>
          <w:szCs w:val="30"/>
        </w:rPr>
      </w:pPr>
      <w:r>
        <w:rPr>
          <w:rFonts w:ascii="Times New Roman" w:hAnsi="Times New Roman" w:eastAsia="黑体"/>
          <w:color w:val="auto"/>
          <w:sz w:val="30"/>
          <w:szCs w:val="30"/>
        </w:rPr>
        <w:t>国有资本经营预算支出情况</w:t>
      </w:r>
    </w:p>
    <w:p>
      <w:pPr>
        <w:pStyle w:val="15"/>
        <w:numPr>
          <w:ilvl w:val="0"/>
          <w:numId w:val="0"/>
        </w:numPr>
        <w:spacing w:line="580" w:lineRule="exact"/>
        <w:ind w:leftChars="200"/>
        <w:rPr>
          <w:rFonts w:hint="default" w:ascii="Times New Roman" w:hAnsi="Times New Roman" w:eastAsia="黑体"/>
          <w:color w:val="auto"/>
          <w:sz w:val="30"/>
          <w:szCs w:val="30"/>
          <w:lang w:val="en-US" w:eastAsia="zh-CN"/>
        </w:rPr>
      </w:pPr>
      <w:r>
        <w:rPr>
          <w:rFonts w:hint="eastAsia" w:ascii="Times New Roman" w:hAnsi="Times New Roman" w:eastAsia="黑体"/>
          <w:color w:val="auto"/>
          <w:sz w:val="30"/>
          <w:szCs w:val="30"/>
          <w:lang w:val="en-US" w:eastAsia="zh-CN"/>
        </w:rPr>
        <w:t xml:space="preserve">  无。</w:t>
      </w:r>
    </w:p>
    <w:p>
      <w:pPr>
        <w:pStyle w:val="15"/>
        <w:numPr>
          <w:ilvl w:val="0"/>
          <w:numId w:val="2"/>
        </w:numPr>
        <w:spacing w:line="580" w:lineRule="exact"/>
        <w:ind w:left="0" w:leftChars="0" w:firstLine="600" w:firstLineChars="200"/>
        <w:rPr>
          <w:rFonts w:ascii="Times New Roman" w:hAnsi="Times New Roman" w:eastAsia="黑体"/>
          <w:color w:val="auto"/>
          <w:sz w:val="30"/>
          <w:szCs w:val="30"/>
        </w:rPr>
      </w:pPr>
      <w:r>
        <w:rPr>
          <w:rFonts w:ascii="Times New Roman" w:hAnsi="Times New Roman" w:eastAsia="黑体"/>
          <w:color w:val="auto"/>
          <w:sz w:val="30"/>
          <w:szCs w:val="30"/>
        </w:rPr>
        <w:t>社会保险基金预算支出情况</w:t>
      </w:r>
    </w:p>
    <w:p>
      <w:pPr>
        <w:pStyle w:val="15"/>
        <w:numPr>
          <w:ilvl w:val="0"/>
          <w:numId w:val="0"/>
        </w:numPr>
        <w:spacing w:line="580" w:lineRule="exact"/>
        <w:ind w:leftChars="200"/>
        <w:rPr>
          <w:rFonts w:hint="default" w:ascii="Times New Roman" w:hAnsi="Times New Roman" w:eastAsia="黑体"/>
          <w:color w:val="auto"/>
          <w:sz w:val="30"/>
          <w:szCs w:val="30"/>
          <w:lang w:val="en-US" w:eastAsia="zh-CN"/>
        </w:rPr>
      </w:pPr>
      <w:r>
        <w:rPr>
          <w:rFonts w:hint="eastAsia" w:ascii="Times New Roman" w:hAnsi="Times New Roman" w:eastAsia="黑体"/>
          <w:color w:val="auto"/>
          <w:sz w:val="30"/>
          <w:szCs w:val="30"/>
          <w:lang w:val="en-US" w:eastAsia="zh-CN"/>
        </w:rPr>
        <w:t xml:space="preserve">  无。</w:t>
      </w:r>
    </w:p>
    <w:p>
      <w:pPr>
        <w:numPr>
          <w:ilvl w:val="0"/>
          <w:numId w:val="2"/>
        </w:numPr>
        <w:spacing w:line="580" w:lineRule="exact"/>
        <w:ind w:left="0" w:leftChars="0" w:firstLine="600" w:firstLineChars="200"/>
        <w:rPr>
          <w:rFonts w:eastAsia="黑体"/>
          <w:color w:val="auto"/>
          <w:sz w:val="30"/>
          <w:szCs w:val="30"/>
        </w:rPr>
      </w:pPr>
      <w:r>
        <w:rPr>
          <w:rFonts w:eastAsia="黑体"/>
          <w:color w:val="auto"/>
          <w:sz w:val="30"/>
          <w:szCs w:val="30"/>
        </w:rPr>
        <w:t>部门整体支出绩效情况</w:t>
      </w:r>
    </w:p>
    <w:p>
      <w:pPr>
        <w:keepNext w:val="0"/>
        <w:keepLines w:val="0"/>
        <w:widowControl/>
        <w:suppressLineNumbers w:val="0"/>
        <w:ind w:firstLine="560" w:firstLineChars="200"/>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201</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年总支出为</w:t>
      </w:r>
      <w:r>
        <w:rPr>
          <w:rFonts w:hint="eastAsia" w:ascii="仿宋" w:hAnsi="仿宋" w:eastAsia="仿宋" w:cs="仿宋"/>
          <w:color w:val="auto"/>
          <w:sz w:val="28"/>
          <w:szCs w:val="28"/>
          <w:lang w:val="en-US" w:eastAsia="zh-CN"/>
        </w:rPr>
        <w:t>4565.87</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1793.05</w:t>
      </w:r>
      <w:r>
        <w:rPr>
          <w:rFonts w:hint="eastAsia" w:ascii="仿宋" w:hAnsi="仿宋" w:eastAsia="仿宋" w:cs="仿宋"/>
          <w:color w:val="auto"/>
          <w:sz w:val="28"/>
          <w:szCs w:val="28"/>
        </w:rPr>
        <w:t xml:space="preserve"> 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2738.90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，经营支出</w:t>
      </w:r>
      <w:r>
        <w:rPr>
          <w:rFonts w:hint="eastAsia" w:ascii="仿宋" w:hAnsi="仿宋" w:eastAsia="仿宋" w:cs="仿宋"/>
          <w:color w:val="auto"/>
          <w:sz w:val="28"/>
          <w:szCs w:val="28"/>
          <w:lang w:val="en-US" w:eastAsia="zh-CN"/>
        </w:rPr>
        <w:t>33.92万元。</w:t>
      </w:r>
    </w:p>
    <w:p>
      <w:pPr>
        <w:keepNext w:val="0"/>
        <w:keepLines w:val="0"/>
        <w:widowControl/>
        <w:suppressLineNumbers w:val="0"/>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  基本支出</w:t>
      </w:r>
      <w:r>
        <w:rPr>
          <w:rFonts w:hint="eastAsia" w:ascii="仿宋" w:hAnsi="仿宋" w:eastAsia="仿宋" w:cs="仿宋"/>
          <w:color w:val="auto"/>
          <w:sz w:val="28"/>
          <w:szCs w:val="28"/>
          <w:lang w:val="en-US" w:eastAsia="zh-CN"/>
        </w:rPr>
        <w:t>1793.05</w:t>
      </w:r>
      <w:r>
        <w:rPr>
          <w:rFonts w:hint="eastAsia" w:ascii="仿宋" w:hAnsi="仿宋" w:eastAsia="仿宋" w:cs="仿宋"/>
          <w:color w:val="auto"/>
          <w:sz w:val="28"/>
          <w:szCs w:val="28"/>
        </w:rPr>
        <w:t>万元，其中：工资福利支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1262.82万</w:t>
      </w:r>
      <w:r>
        <w:rPr>
          <w:rFonts w:hint="eastAsia" w:ascii="仿宋" w:hAnsi="仿宋" w:eastAsia="仿宋" w:cs="仿宋"/>
          <w:color w:val="auto"/>
          <w:sz w:val="28"/>
          <w:szCs w:val="28"/>
        </w:rPr>
        <w:t>元、商品和服务支出</w:t>
      </w:r>
      <w:r>
        <w:rPr>
          <w:rFonts w:hint="eastAsia" w:ascii="仿宋" w:hAnsi="仿宋" w:eastAsia="仿宋" w:cs="仿宋"/>
          <w:color w:val="auto"/>
          <w:sz w:val="28"/>
          <w:szCs w:val="28"/>
          <w:lang w:val="en-US" w:eastAsia="zh-CN"/>
        </w:rPr>
        <w:t>391.15</w:t>
      </w:r>
      <w:r>
        <w:rPr>
          <w:rFonts w:hint="eastAsia" w:ascii="仿宋" w:hAnsi="仿宋" w:eastAsia="仿宋" w:cs="仿宋"/>
          <w:color w:val="auto"/>
          <w:sz w:val="28"/>
          <w:szCs w:val="28"/>
        </w:rPr>
        <w:t>万元、对个人和家庭的补助</w:t>
      </w:r>
      <w:r>
        <w:rPr>
          <w:rFonts w:hint="eastAsia" w:ascii="仿宋" w:hAnsi="仿宋" w:eastAsia="仿宋" w:cs="仿宋"/>
          <w:color w:val="auto"/>
          <w:sz w:val="28"/>
          <w:szCs w:val="28"/>
          <w:lang w:val="en-US" w:eastAsia="zh-CN"/>
        </w:rPr>
        <w:t>131.79</w:t>
      </w:r>
      <w:r>
        <w:rPr>
          <w:rFonts w:hint="eastAsia" w:ascii="仿宋" w:hAnsi="仿宋" w:eastAsia="仿宋" w:cs="仿宋"/>
          <w:color w:val="auto"/>
          <w:sz w:val="28"/>
          <w:szCs w:val="28"/>
        </w:rPr>
        <w:t>万</w:t>
      </w:r>
      <w:r>
        <w:rPr>
          <w:rFonts w:hint="eastAsia" w:ascii="仿宋" w:hAnsi="仿宋" w:eastAsia="仿宋" w:cs="仿宋"/>
          <w:color w:val="auto"/>
          <w:sz w:val="28"/>
          <w:szCs w:val="28"/>
          <w:lang w:eastAsia="zh-CN"/>
        </w:rPr>
        <w:t>元，资本性支出</w:t>
      </w:r>
      <w:r>
        <w:rPr>
          <w:rFonts w:hint="eastAsia" w:ascii="仿宋" w:hAnsi="仿宋" w:eastAsia="仿宋" w:cs="仿宋"/>
          <w:color w:val="auto"/>
          <w:sz w:val="28"/>
          <w:szCs w:val="28"/>
          <w:lang w:val="en-US" w:eastAsia="zh-CN"/>
        </w:rPr>
        <w:t>7.29万元。</w:t>
      </w:r>
    </w:p>
    <w:p>
      <w:pPr>
        <w:keepNext w:val="0"/>
        <w:keepLines w:val="0"/>
        <w:widowControl/>
        <w:suppressLineNumbers w:val="0"/>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2738.90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主要用于与项目相关的各种支出，</w:t>
      </w:r>
      <w:r>
        <w:rPr>
          <w:rFonts w:hint="eastAsia" w:ascii="仿宋" w:hAnsi="仿宋" w:eastAsia="仿宋" w:cs="仿宋"/>
          <w:color w:val="auto"/>
          <w:sz w:val="28"/>
          <w:szCs w:val="28"/>
        </w:rPr>
        <w:t>其中：工资福利支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50.14万</w:t>
      </w:r>
      <w:r>
        <w:rPr>
          <w:rFonts w:hint="eastAsia" w:ascii="仿宋" w:hAnsi="仿宋" w:eastAsia="仿宋" w:cs="仿宋"/>
          <w:color w:val="auto"/>
          <w:sz w:val="28"/>
          <w:szCs w:val="28"/>
        </w:rPr>
        <w:t>元、商品和服务支出</w:t>
      </w:r>
      <w:r>
        <w:rPr>
          <w:rFonts w:hint="eastAsia" w:ascii="仿宋" w:hAnsi="仿宋" w:eastAsia="仿宋" w:cs="仿宋"/>
          <w:color w:val="auto"/>
          <w:sz w:val="28"/>
          <w:szCs w:val="28"/>
          <w:lang w:val="en-US" w:eastAsia="zh-CN"/>
        </w:rPr>
        <w:t>1592.30</w:t>
      </w:r>
      <w:r>
        <w:rPr>
          <w:rFonts w:hint="eastAsia" w:ascii="仿宋" w:hAnsi="仿宋" w:eastAsia="仿宋" w:cs="仿宋"/>
          <w:color w:val="auto"/>
          <w:sz w:val="28"/>
          <w:szCs w:val="28"/>
        </w:rPr>
        <w:t>万元、对个人和家庭的补助</w:t>
      </w:r>
      <w:r>
        <w:rPr>
          <w:rFonts w:hint="eastAsia" w:ascii="仿宋" w:hAnsi="仿宋" w:eastAsia="仿宋" w:cs="仿宋"/>
          <w:color w:val="auto"/>
          <w:sz w:val="28"/>
          <w:szCs w:val="28"/>
          <w:lang w:val="en-US" w:eastAsia="zh-CN"/>
        </w:rPr>
        <w:t>0.1</w:t>
      </w:r>
      <w:r>
        <w:rPr>
          <w:rFonts w:hint="eastAsia" w:ascii="仿宋" w:hAnsi="仿宋" w:eastAsia="仿宋" w:cs="仿宋"/>
          <w:color w:val="auto"/>
          <w:sz w:val="28"/>
          <w:szCs w:val="28"/>
        </w:rPr>
        <w:t>万</w:t>
      </w:r>
      <w:r>
        <w:rPr>
          <w:rFonts w:hint="eastAsia" w:ascii="仿宋" w:hAnsi="仿宋" w:eastAsia="仿宋" w:cs="仿宋"/>
          <w:color w:val="auto"/>
          <w:sz w:val="28"/>
          <w:szCs w:val="28"/>
          <w:lang w:eastAsia="zh-CN"/>
        </w:rPr>
        <w:t>元，资本性支出</w:t>
      </w:r>
      <w:r>
        <w:rPr>
          <w:rFonts w:hint="eastAsia" w:ascii="仿宋" w:hAnsi="仿宋" w:eastAsia="仿宋" w:cs="仿宋"/>
          <w:color w:val="auto"/>
          <w:sz w:val="28"/>
          <w:szCs w:val="28"/>
          <w:lang w:val="en-US" w:eastAsia="zh-CN"/>
        </w:rPr>
        <w:t>1096.36万元。</w:t>
      </w:r>
    </w:p>
    <w:p>
      <w:pPr>
        <w:keepNext w:val="0"/>
        <w:keepLines w:val="0"/>
        <w:widowControl/>
        <w:suppressLineNumbers w:val="0"/>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经营支出</w:t>
      </w:r>
      <w:r>
        <w:rPr>
          <w:rFonts w:hint="eastAsia" w:ascii="仿宋" w:hAnsi="仿宋" w:eastAsia="仿宋" w:cs="仿宋"/>
          <w:color w:val="auto"/>
          <w:sz w:val="28"/>
          <w:szCs w:val="28"/>
          <w:lang w:val="en-US" w:eastAsia="zh-CN"/>
        </w:rPr>
        <w:t>33.92万元，其中</w:t>
      </w:r>
      <w:r>
        <w:rPr>
          <w:rFonts w:hint="eastAsia" w:ascii="仿宋" w:hAnsi="仿宋" w:eastAsia="仿宋" w:cs="仿宋"/>
          <w:color w:val="auto"/>
          <w:sz w:val="28"/>
          <w:szCs w:val="28"/>
        </w:rPr>
        <w:t>工资福利支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1.41万</w:t>
      </w:r>
      <w:r>
        <w:rPr>
          <w:rFonts w:hint="eastAsia" w:ascii="仿宋" w:hAnsi="仿宋" w:eastAsia="仿宋" w:cs="仿宋"/>
          <w:color w:val="auto"/>
          <w:sz w:val="28"/>
          <w:szCs w:val="28"/>
        </w:rPr>
        <w:t>元、商品和服务支出</w:t>
      </w:r>
      <w:r>
        <w:rPr>
          <w:rFonts w:hint="eastAsia" w:ascii="仿宋" w:hAnsi="仿宋" w:eastAsia="仿宋" w:cs="仿宋"/>
          <w:color w:val="auto"/>
          <w:sz w:val="28"/>
          <w:szCs w:val="28"/>
          <w:lang w:val="en-US" w:eastAsia="zh-CN"/>
        </w:rPr>
        <w:t>32.51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p>
    <w:p>
      <w:pPr>
        <w:keepNext w:val="0"/>
        <w:keepLines w:val="0"/>
        <w:widowControl/>
        <w:suppressLineNumbers w:val="0"/>
        <w:ind w:firstLine="560" w:firstLineChars="200"/>
        <w:jc w:val="left"/>
        <w:rPr>
          <w:rFonts w:hint="default"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default" w:ascii="仿宋" w:hAnsi="仿宋" w:eastAsia="仿宋" w:cs="仿宋"/>
          <w:color w:val="auto"/>
          <w:sz w:val="28"/>
          <w:szCs w:val="28"/>
        </w:rPr>
        <w:t>201</w:t>
      </w:r>
      <w:r>
        <w:rPr>
          <w:rFonts w:hint="default" w:ascii="仿宋" w:hAnsi="仿宋" w:eastAsia="仿宋" w:cs="仿宋"/>
          <w:color w:val="auto"/>
          <w:sz w:val="28"/>
          <w:szCs w:val="28"/>
          <w:lang w:val="en-US" w:eastAsia="zh-CN"/>
        </w:rPr>
        <w:t>9</w:t>
      </w:r>
      <w:r>
        <w:rPr>
          <w:rFonts w:hint="default" w:ascii="仿宋" w:hAnsi="仿宋" w:eastAsia="仿宋" w:cs="仿宋"/>
          <w:color w:val="auto"/>
          <w:sz w:val="28"/>
          <w:szCs w:val="28"/>
        </w:rPr>
        <w:t>年，</w:t>
      </w:r>
      <w:r>
        <w:rPr>
          <w:rFonts w:hint="eastAsia" w:ascii="仿宋" w:hAnsi="仿宋" w:eastAsia="仿宋" w:cs="仿宋"/>
          <w:color w:val="auto"/>
          <w:sz w:val="28"/>
          <w:szCs w:val="28"/>
          <w:lang w:eastAsia="zh-CN"/>
        </w:rPr>
        <w:t>我校</w:t>
      </w:r>
      <w:r>
        <w:rPr>
          <w:rFonts w:hint="default" w:ascii="仿宋" w:hAnsi="仿宋" w:eastAsia="仿宋" w:cs="仿宋"/>
          <w:color w:val="auto"/>
          <w:sz w:val="28"/>
          <w:szCs w:val="28"/>
          <w:lang w:eastAsia="zh-CN"/>
        </w:rPr>
        <w:t>坚持以</w:t>
      </w:r>
      <w:r>
        <w:rPr>
          <w:rFonts w:hint="default" w:ascii="仿宋" w:hAnsi="仿宋" w:eastAsia="仿宋" w:cs="仿宋"/>
          <w:color w:val="auto"/>
          <w:sz w:val="28"/>
          <w:szCs w:val="28"/>
        </w:rPr>
        <w:t>习近平新时代中国特色社会主义思想和党的十九大以及十九届二中、三中</w:t>
      </w:r>
      <w:r>
        <w:rPr>
          <w:rFonts w:hint="default" w:ascii="仿宋" w:hAnsi="仿宋" w:eastAsia="仿宋" w:cs="仿宋"/>
          <w:color w:val="auto"/>
          <w:sz w:val="28"/>
          <w:szCs w:val="28"/>
          <w:lang w:eastAsia="zh-CN"/>
        </w:rPr>
        <w:t>、四中</w:t>
      </w:r>
      <w:r>
        <w:rPr>
          <w:rFonts w:hint="default" w:ascii="仿宋" w:hAnsi="仿宋" w:eastAsia="仿宋" w:cs="仿宋"/>
          <w:color w:val="auto"/>
          <w:sz w:val="28"/>
          <w:szCs w:val="28"/>
        </w:rPr>
        <w:t>全会</w:t>
      </w:r>
      <w:r>
        <w:rPr>
          <w:rFonts w:hint="default" w:ascii="仿宋" w:hAnsi="仿宋" w:eastAsia="仿宋" w:cs="仿宋"/>
          <w:color w:val="auto"/>
          <w:sz w:val="28"/>
          <w:szCs w:val="28"/>
          <w:lang w:eastAsia="zh-CN"/>
        </w:rPr>
        <w:t>，</w:t>
      </w:r>
      <w:r>
        <w:rPr>
          <w:rFonts w:hint="default" w:ascii="仿宋" w:hAnsi="仿宋" w:eastAsia="仿宋" w:cs="仿宋"/>
          <w:color w:val="auto"/>
          <w:sz w:val="28"/>
          <w:szCs w:val="28"/>
          <w:lang w:val="en-US" w:eastAsia="zh-CN"/>
        </w:rPr>
        <w:t>全国、全省、全市教育大会</w:t>
      </w:r>
      <w:r>
        <w:rPr>
          <w:rFonts w:hint="default" w:ascii="仿宋" w:hAnsi="仿宋" w:eastAsia="仿宋" w:cs="仿宋"/>
          <w:color w:val="auto"/>
          <w:sz w:val="28"/>
          <w:szCs w:val="28"/>
        </w:rPr>
        <w:t>精神</w:t>
      </w:r>
      <w:r>
        <w:rPr>
          <w:rFonts w:hint="default" w:ascii="仿宋" w:hAnsi="仿宋" w:eastAsia="仿宋" w:cs="仿宋"/>
          <w:color w:val="auto"/>
          <w:sz w:val="28"/>
          <w:szCs w:val="28"/>
          <w:lang w:eastAsia="zh-CN"/>
        </w:rPr>
        <w:t>为指引，</w:t>
      </w:r>
      <w:r>
        <w:rPr>
          <w:rFonts w:hint="default" w:ascii="仿宋" w:hAnsi="仿宋" w:eastAsia="仿宋" w:cs="仿宋"/>
          <w:color w:val="auto"/>
          <w:sz w:val="28"/>
          <w:szCs w:val="28"/>
        </w:rPr>
        <w:t>在市委、市政府的领导</w:t>
      </w:r>
      <w:r>
        <w:rPr>
          <w:rFonts w:hint="default" w:ascii="仿宋" w:hAnsi="仿宋" w:eastAsia="仿宋" w:cs="仿宋"/>
          <w:color w:val="auto"/>
          <w:sz w:val="28"/>
          <w:szCs w:val="28"/>
          <w:lang w:eastAsia="zh-CN"/>
        </w:rPr>
        <w:t>，</w:t>
      </w:r>
      <w:r>
        <w:rPr>
          <w:rFonts w:hint="default" w:ascii="仿宋" w:hAnsi="仿宋" w:eastAsia="仿宋" w:cs="仿宋"/>
          <w:color w:val="auto"/>
          <w:sz w:val="28"/>
          <w:szCs w:val="28"/>
        </w:rPr>
        <w:t>市教育局的指导下，</w:t>
      </w:r>
      <w:r>
        <w:rPr>
          <w:rFonts w:hint="default" w:ascii="仿宋" w:hAnsi="仿宋" w:eastAsia="仿宋" w:cs="仿宋"/>
          <w:color w:val="auto"/>
          <w:sz w:val="28"/>
          <w:szCs w:val="28"/>
          <w:lang w:eastAsia="zh-CN"/>
        </w:rPr>
        <w:t>坚守教育</w:t>
      </w:r>
      <w:r>
        <w:rPr>
          <w:rFonts w:hint="default" w:ascii="仿宋" w:hAnsi="仿宋" w:eastAsia="仿宋" w:cs="仿宋"/>
          <w:color w:val="auto"/>
          <w:sz w:val="28"/>
          <w:szCs w:val="28"/>
          <w:lang w:val="en-US" w:eastAsia="zh-CN"/>
        </w:rPr>
        <w:t>初心、坚持立德树人，</w:t>
      </w:r>
      <w:r>
        <w:rPr>
          <w:rFonts w:hint="default" w:ascii="仿宋" w:hAnsi="仿宋" w:eastAsia="仿宋" w:cs="仿宋"/>
          <w:color w:val="auto"/>
          <w:sz w:val="28"/>
          <w:szCs w:val="28"/>
        </w:rPr>
        <w:t>紧紧</w:t>
      </w:r>
      <w:r>
        <w:rPr>
          <w:rFonts w:hint="default" w:ascii="仿宋" w:hAnsi="仿宋" w:eastAsia="仿宋" w:cs="仿宋"/>
          <w:color w:val="auto"/>
          <w:sz w:val="28"/>
          <w:szCs w:val="28"/>
          <w:lang w:eastAsia="zh-CN"/>
        </w:rPr>
        <w:t>团结系统上下</w:t>
      </w:r>
      <w:r>
        <w:rPr>
          <w:rFonts w:hint="default" w:ascii="仿宋" w:hAnsi="仿宋" w:eastAsia="仿宋" w:cs="仿宋"/>
          <w:color w:val="auto"/>
          <w:sz w:val="28"/>
          <w:szCs w:val="28"/>
        </w:rPr>
        <w:t>教职工</w:t>
      </w:r>
      <w:r>
        <w:rPr>
          <w:rFonts w:hint="default" w:ascii="仿宋" w:hAnsi="仿宋" w:eastAsia="仿宋" w:cs="仿宋"/>
          <w:color w:val="auto"/>
          <w:sz w:val="28"/>
          <w:szCs w:val="28"/>
          <w:lang w:eastAsia="zh-CN"/>
        </w:rPr>
        <w:t>，</w:t>
      </w:r>
      <w:r>
        <w:rPr>
          <w:rFonts w:hint="default" w:ascii="仿宋" w:hAnsi="仿宋" w:eastAsia="仿宋" w:cs="仿宋"/>
          <w:color w:val="auto"/>
          <w:sz w:val="28"/>
          <w:szCs w:val="28"/>
        </w:rPr>
        <w:t>较好地完成了年度工作目标</w:t>
      </w:r>
      <w:r>
        <w:rPr>
          <w:rFonts w:hint="default" w:ascii="仿宋" w:hAnsi="仿宋" w:eastAsia="仿宋" w:cs="仿宋"/>
          <w:color w:val="auto"/>
          <w:sz w:val="28"/>
          <w:szCs w:val="28"/>
          <w:lang w:eastAsia="zh-CN"/>
        </w:rPr>
        <w:t>，</w:t>
      </w:r>
      <w:r>
        <w:rPr>
          <w:rFonts w:hint="default" w:ascii="仿宋" w:hAnsi="仿宋" w:eastAsia="仿宋" w:cs="仿宋"/>
          <w:color w:val="auto"/>
          <w:sz w:val="28"/>
          <w:szCs w:val="28"/>
        </w:rPr>
        <w:t>学校被湖南电大评为“招生先进单位”、全省广播电视大学系统办学目标考评优秀分校，</w:t>
      </w:r>
      <w:r>
        <w:rPr>
          <w:rFonts w:hint="default" w:ascii="仿宋" w:hAnsi="仿宋" w:eastAsia="仿宋" w:cs="仿宋"/>
          <w:color w:val="auto"/>
          <w:sz w:val="28"/>
          <w:szCs w:val="28"/>
          <w:lang w:eastAsia="zh-CN"/>
        </w:rPr>
        <w:t>同时也</w:t>
      </w:r>
      <w:r>
        <w:rPr>
          <w:rFonts w:hint="default" w:ascii="仿宋" w:hAnsi="仿宋" w:eastAsia="仿宋" w:cs="仿宋"/>
          <w:color w:val="auto"/>
          <w:sz w:val="28"/>
          <w:szCs w:val="28"/>
        </w:rPr>
        <w:t>被评为市文明单位和平安创建合格单位。</w:t>
      </w:r>
      <w:r>
        <w:rPr>
          <w:rFonts w:hint="eastAsia" w:ascii="仿宋" w:hAnsi="仿宋" w:eastAsia="仿宋" w:cs="仿宋"/>
          <w:color w:val="auto"/>
          <w:sz w:val="28"/>
          <w:szCs w:val="28"/>
          <w:lang w:eastAsia="zh-CN"/>
        </w:rPr>
        <w:t>我校在</w:t>
      </w:r>
      <w:r>
        <w:rPr>
          <w:rFonts w:hint="default" w:ascii="仿宋" w:hAnsi="仿宋" w:eastAsia="仿宋" w:cs="仿宋"/>
          <w:color w:val="auto"/>
          <w:sz w:val="28"/>
          <w:szCs w:val="28"/>
        </w:rPr>
        <w:t>较好地完成</w:t>
      </w:r>
      <w:r>
        <w:rPr>
          <w:rFonts w:hint="eastAsia" w:ascii="仿宋" w:hAnsi="仿宋" w:eastAsia="仿宋" w:cs="仿宋"/>
          <w:color w:val="auto"/>
          <w:sz w:val="28"/>
          <w:szCs w:val="28"/>
          <w:lang w:eastAsia="zh-CN"/>
        </w:rPr>
        <w:t>了</w:t>
      </w:r>
      <w:r>
        <w:rPr>
          <w:rFonts w:hint="default" w:ascii="仿宋" w:hAnsi="仿宋" w:eastAsia="仿宋" w:cs="仿宋"/>
          <w:color w:val="auto"/>
          <w:sz w:val="28"/>
          <w:szCs w:val="28"/>
        </w:rPr>
        <w:t>年度工作目标，同时加强预算收支的管理，建立健全内部管理制度，严格内部管理流程，部门整体支出管理得到了提升。部门整体绩效情况如下：</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楷体_GB2312" w:cs="Times New Roman"/>
          <w:b/>
          <w:bCs/>
          <w:color w:val="auto"/>
          <w:sz w:val="28"/>
          <w:szCs w:val="28"/>
          <w:lang w:val="en-US" w:eastAsia="zh-CN"/>
        </w:rPr>
      </w:pPr>
      <w:r>
        <w:rPr>
          <w:rFonts w:hint="default" w:ascii="Times New Roman" w:hAnsi="Times New Roman" w:eastAsia="楷体_GB2312" w:cs="Times New Roman"/>
          <w:b/>
          <w:bCs/>
          <w:color w:val="auto"/>
          <w:sz w:val="28"/>
          <w:szCs w:val="28"/>
          <w:lang w:val="en-US" w:eastAsia="zh-CN"/>
        </w:rPr>
        <w:t>（一）学历教育工作</w:t>
      </w:r>
    </w:p>
    <w:p>
      <w:pPr>
        <w:keepNext w:val="0"/>
        <w:keepLines w:val="0"/>
        <w:widowControl/>
        <w:suppressLineNumbers w:val="0"/>
        <w:ind w:firstLine="560" w:firstLineChars="200"/>
        <w:jc w:val="left"/>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1.招生工作方面。</w:t>
      </w:r>
      <w:r>
        <w:rPr>
          <w:rFonts w:hint="eastAsia" w:ascii="仿宋" w:hAnsi="仿宋" w:eastAsia="仿宋" w:cs="仿宋"/>
          <w:b/>
          <w:bCs/>
          <w:color w:val="auto"/>
          <w:sz w:val="28"/>
          <w:szCs w:val="28"/>
        </w:rPr>
        <w:t>一是</w:t>
      </w:r>
      <w:r>
        <w:rPr>
          <w:rFonts w:hint="eastAsia" w:ascii="仿宋" w:hAnsi="仿宋" w:eastAsia="仿宋" w:cs="仿宋"/>
          <w:color w:val="auto"/>
          <w:sz w:val="28"/>
          <w:szCs w:val="28"/>
          <w:lang w:eastAsia="zh-CN"/>
        </w:rPr>
        <w:t>加强</w:t>
      </w:r>
      <w:r>
        <w:rPr>
          <w:rFonts w:hint="eastAsia" w:ascii="仿宋" w:hAnsi="仿宋" w:eastAsia="仿宋" w:cs="仿宋"/>
          <w:color w:val="auto"/>
          <w:sz w:val="28"/>
          <w:szCs w:val="28"/>
        </w:rPr>
        <w:t>招生宣传工作。今年以来，加大了广告投入，年初时在郴州日报连续刊登招生广告2个月，邮送广告20期近10万条信息，14天26条公交线路400多辆公交车滚动播出车载视频广告约500多万次。加大了工作宣传力度，特别是对农民大学生“创新创业演讲比赛”进行了集中和连续报道，红星郴州、郴州日报、今日郴州、学校主页均进行了报道。强化了宣传策划，围绕电大全面发展制定专门的宣传工作方案，对各个阶段、各个层面、各项重点工作均以不同形式作了宣传安排。</w:t>
      </w:r>
      <w:r>
        <w:rPr>
          <w:rFonts w:hint="eastAsia" w:ascii="仿宋" w:hAnsi="仿宋" w:eastAsia="仿宋" w:cs="仿宋"/>
          <w:b/>
          <w:bCs/>
          <w:color w:val="auto"/>
          <w:sz w:val="28"/>
          <w:szCs w:val="28"/>
        </w:rPr>
        <w:t>二是</w:t>
      </w:r>
      <w:r>
        <w:rPr>
          <w:rFonts w:hint="eastAsia" w:ascii="仿宋" w:hAnsi="仿宋" w:eastAsia="仿宋" w:cs="仿宋"/>
          <w:color w:val="auto"/>
          <w:sz w:val="28"/>
          <w:szCs w:val="28"/>
          <w:lang w:val="en-US" w:eastAsia="zh-CN"/>
        </w:rPr>
        <w:t>积极推进传统开放教育招生工作。继续加强“农民大学生培养计划”，争取市委组织的支持，今年计划培养1960人，总人数比去年增加了30个。积极拓展部门项目招生，与市公安局合作开展警务辅助人员“双提工程”培养计划，拟对全市尚未达到学历要求的所有警务辅助人员提升能力、提高学历。</w:t>
      </w:r>
      <w:r>
        <w:rPr>
          <w:rFonts w:hint="eastAsia" w:ascii="仿宋" w:hAnsi="仿宋" w:eastAsia="仿宋" w:cs="仿宋"/>
          <w:color w:val="auto"/>
          <w:sz w:val="28"/>
          <w:szCs w:val="28"/>
        </w:rPr>
        <w:t>全年录收开放教育学生4722人，同比去年增长14.4%，再创开放教育招生人数新高。</w:t>
      </w:r>
      <w:r>
        <w:rPr>
          <w:rFonts w:hint="eastAsia" w:ascii="仿宋" w:hAnsi="仿宋" w:eastAsia="仿宋" w:cs="仿宋"/>
          <w:color w:val="auto"/>
          <w:sz w:val="28"/>
          <w:szCs w:val="28"/>
          <w:lang w:val="en-US" w:eastAsia="zh-CN"/>
        </w:rPr>
        <w:t xml:space="preserve"> </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b/>
          <w:color w:val="auto"/>
          <w:sz w:val="28"/>
          <w:szCs w:val="28"/>
          <w:lang w:val="en-US" w:eastAsia="zh-CN"/>
        </w:rPr>
        <w:t>2.</w:t>
      </w:r>
      <w:r>
        <w:rPr>
          <w:rFonts w:hint="eastAsia" w:ascii="仿宋" w:hAnsi="仿宋" w:eastAsia="仿宋" w:cs="仿宋"/>
          <w:b/>
          <w:color w:val="auto"/>
          <w:sz w:val="28"/>
          <w:szCs w:val="28"/>
        </w:rPr>
        <w:t>教育教学工作</w:t>
      </w:r>
      <w:r>
        <w:rPr>
          <w:rFonts w:hint="eastAsia" w:ascii="仿宋" w:hAnsi="仿宋" w:eastAsia="仿宋" w:cs="仿宋"/>
          <w:b/>
          <w:color w:val="auto"/>
          <w:sz w:val="28"/>
          <w:szCs w:val="28"/>
          <w:lang w:eastAsia="zh-CN"/>
        </w:rPr>
        <w:t>方面</w:t>
      </w:r>
      <w:r>
        <w:rPr>
          <w:rFonts w:hint="eastAsia" w:ascii="仿宋" w:hAnsi="仿宋" w:eastAsia="仿宋" w:cs="仿宋"/>
          <w:b/>
          <w:color w:val="auto"/>
          <w:sz w:val="28"/>
          <w:szCs w:val="28"/>
        </w:rPr>
        <w:t>。</w:t>
      </w:r>
      <w:r>
        <w:rPr>
          <w:rFonts w:hint="eastAsia" w:ascii="仿宋" w:hAnsi="仿宋" w:eastAsia="仿宋" w:cs="仿宋"/>
          <w:b/>
          <w:color w:val="auto"/>
          <w:sz w:val="28"/>
          <w:szCs w:val="28"/>
        </w:rPr>
        <w:t>一是</w:t>
      </w:r>
      <w:r>
        <w:rPr>
          <w:rFonts w:hint="eastAsia" w:ascii="仿宋" w:hAnsi="仿宋" w:eastAsia="仿宋" w:cs="仿宋"/>
          <w:color w:val="auto"/>
          <w:sz w:val="28"/>
          <w:szCs w:val="28"/>
        </w:rPr>
        <w:t>推行“半封闭式”集中培训。在农民大学生中举办为期一周的集中培训班，统一安排食宿、统一安排教学，做到白天上课、晚上搞活动，主题突出、内容丰富。学生总体评价非常好。</w:t>
      </w:r>
      <w:r>
        <w:rPr>
          <w:rFonts w:hint="eastAsia" w:ascii="仿宋" w:hAnsi="仿宋" w:eastAsia="仿宋" w:cs="仿宋"/>
          <w:b/>
          <w:color w:val="auto"/>
          <w:sz w:val="28"/>
          <w:szCs w:val="28"/>
          <w:lang w:eastAsia="zh-CN"/>
        </w:rPr>
        <w:t>二</w:t>
      </w:r>
      <w:r>
        <w:rPr>
          <w:rFonts w:hint="eastAsia" w:ascii="仿宋" w:hAnsi="仿宋" w:eastAsia="仿宋" w:cs="仿宋"/>
          <w:b/>
          <w:color w:val="auto"/>
          <w:sz w:val="28"/>
          <w:szCs w:val="28"/>
        </w:rPr>
        <w:t>是</w:t>
      </w:r>
      <w:r>
        <w:rPr>
          <w:rFonts w:hint="eastAsia" w:ascii="仿宋" w:hAnsi="仿宋" w:eastAsia="仿宋" w:cs="仿宋"/>
          <w:color w:val="auto"/>
          <w:sz w:val="28"/>
          <w:szCs w:val="28"/>
        </w:rPr>
        <w:t>试行“约课”制。以学生为主体，以需求为导向，开展“订单式”教学（学生“点单”、学校“埋单”）。下半年以来，共实时约课200多人次，涉及六大专业、13门课程。约课较好地解决了个性共性兼容、供需对等、知识对应的问题。</w:t>
      </w:r>
      <w:r>
        <w:rPr>
          <w:rFonts w:hint="eastAsia" w:ascii="仿宋" w:hAnsi="仿宋" w:eastAsia="仿宋" w:cs="仿宋"/>
          <w:b/>
          <w:color w:val="auto"/>
          <w:sz w:val="28"/>
          <w:szCs w:val="28"/>
          <w:lang w:eastAsia="zh-CN"/>
        </w:rPr>
        <w:t>三</w:t>
      </w:r>
      <w:r>
        <w:rPr>
          <w:rFonts w:hint="eastAsia" w:ascii="仿宋" w:hAnsi="仿宋" w:eastAsia="仿宋" w:cs="仿宋"/>
          <w:b/>
          <w:color w:val="auto"/>
          <w:sz w:val="28"/>
          <w:szCs w:val="28"/>
        </w:rPr>
        <w:t>是</w:t>
      </w:r>
      <w:r>
        <w:rPr>
          <w:rFonts w:hint="eastAsia" w:ascii="仿宋" w:hAnsi="仿宋" w:eastAsia="仿宋" w:cs="仿宋"/>
          <w:color w:val="auto"/>
          <w:sz w:val="28"/>
          <w:szCs w:val="28"/>
        </w:rPr>
        <w:t>增设“专家讲坛”。聘请领导、专家讲专题讲“党课”，</w:t>
      </w:r>
      <w:r>
        <w:rPr>
          <w:rFonts w:hint="eastAsia" w:ascii="仿宋" w:hAnsi="仿宋" w:eastAsia="仿宋" w:cs="仿宋"/>
          <w:color w:val="auto"/>
          <w:sz w:val="28"/>
          <w:szCs w:val="28"/>
          <w:lang w:eastAsia="zh-CN"/>
        </w:rPr>
        <w:t>分部</w:t>
      </w:r>
      <w:r>
        <w:rPr>
          <w:rFonts w:hint="eastAsia" w:ascii="仿宋" w:hAnsi="仿宋" w:eastAsia="仿宋" w:cs="仿宋"/>
          <w:color w:val="auto"/>
          <w:sz w:val="28"/>
          <w:szCs w:val="28"/>
        </w:rPr>
        <w:t>从全面加强党的领导、全面加强党的建设、全面从严治党等各个方面来加强党的政治思想理论教育和价值引领。</w:t>
      </w:r>
      <w:r>
        <w:rPr>
          <w:rFonts w:hint="eastAsia" w:ascii="仿宋" w:hAnsi="仿宋" w:eastAsia="仿宋" w:cs="仿宋"/>
          <w:b/>
          <w:color w:val="auto"/>
          <w:sz w:val="28"/>
          <w:szCs w:val="28"/>
          <w:lang w:eastAsia="zh-CN"/>
        </w:rPr>
        <w:t>四</w:t>
      </w:r>
      <w:r>
        <w:rPr>
          <w:rFonts w:hint="eastAsia" w:ascii="仿宋" w:hAnsi="仿宋" w:eastAsia="仿宋" w:cs="仿宋"/>
          <w:b/>
          <w:color w:val="auto"/>
          <w:sz w:val="28"/>
          <w:szCs w:val="28"/>
        </w:rPr>
        <w:t>是</w:t>
      </w:r>
      <w:r>
        <w:rPr>
          <w:rFonts w:hint="eastAsia" w:ascii="仿宋" w:hAnsi="仿宋" w:eastAsia="仿宋" w:cs="仿宋"/>
          <w:color w:val="auto"/>
          <w:sz w:val="28"/>
          <w:szCs w:val="28"/>
        </w:rPr>
        <w:t>加强导学导考。以课程内容的知识点以及重点、难点为学习引导，以辅导学生掌握参考应考方法从而提高考试通过率为目标，所有课程教师均对自己承担的科目开展了导学导考工作。</w:t>
      </w:r>
      <w:r>
        <w:rPr>
          <w:rFonts w:hint="eastAsia" w:ascii="仿宋" w:hAnsi="仿宋" w:eastAsia="仿宋" w:cs="仿宋"/>
          <w:b/>
          <w:color w:val="auto"/>
          <w:sz w:val="28"/>
          <w:szCs w:val="28"/>
          <w:lang w:eastAsia="zh-CN"/>
        </w:rPr>
        <w:t>五</w:t>
      </w:r>
      <w:r>
        <w:rPr>
          <w:rFonts w:hint="eastAsia" w:ascii="仿宋" w:hAnsi="仿宋" w:eastAsia="仿宋" w:cs="仿宋"/>
          <w:b/>
          <w:color w:val="auto"/>
          <w:sz w:val="28"/>
          <w:szCs w:val="28"/>
        </w:rPr>
        <w:t>是</w:t>
      </w:r>
      <w:r>
        <w:rPr>
          <w:rFonts w:hint="eastAsia" w:ascii="仿宋" w:hAnsi="仿宋" w:eastAsia="仿宋" w:cs="仿宋"/>
          <w:color w:val="auto"/>
          <w:sz w:val="28"/>
          <w:szCs w:val="28"/>
        </w:rPr>
        <w:t>严格论文指导管理。今年，论文指导和管理工作全面走向正轨，从省校上半年的统计数据来看，我校提交省校抽检论文总数第一，通过率达到88.8%，排名全省前6名。</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b/>
          <w:color w:val="auto"/>
          <w:sz w:val="28"/>
          <w:szCs w:val="28"/>
          <w:lang w:val="en-US" w:eastAsia="zh-CN"/>
        </w:rPr>
        <w:t>3.</w:t>
      </w:r>
      <w:r>
        <w:rPr>
          <w:rFonts w:hint="eastAsia" w:ascii="仿宋" w:hAnsi="仿宋" w:eastAsia="仿宋" w:cs="仿宋"/>
          <w:b/>
          <w:color w:val="auto"/>
          <w:sz w:val="28"/>
          <w:szCs w:val="28"/>
        </w:rPr>
        <w:t>学生</w:t>
      </w:r>
      <w:r>
        <w:rPr>
          <w:rFonts w:hint="eastAsia" w:ascii="仿宋" w:hAnsi="仿宋" w:eastAsia="仿宋" w:cs="仿宋"/>
          <w:b/>
          <w:color w:val="auto"/>
          <w:sz w:val="28"/>
          <w:szCs w:val="28"/>
          <w:lang w:eastAsia="zh-CN"/>
        </w:rPr>
        <w:t>服务</w:t>
      </w:r>
      <w:r>
        <w:rPr>
          <w:rFonts w:hint="eastAsia" w:ascii="仿宋" w:hAnsi="仿宋" w:eastAsia="仿宋" w:cs="仿宋"/>
          <w:b/>
          <w:color w:val="auto"/>
          <w:sz w:val="28"/>
          <w:szCs w:val="28"/>
        </w:rPr>
        <w:t>工作</w:t>
      </w:r>
      <w:r>
        <w:rPr>
          <w:rFonts w:hint="eastAsia" w:ascii="仿宋" w:hAnsi="仿宋" w:eastAsia="仿宋" w:cs="仿宋"/>
          <w:b/>
          <w:color w:val="auto"/>
          <w:sz w:val="28"/>
          <w:szCs w:val="28"/>
          <w:lang w:eastAsia="zh-CN"/>
        </w:rPr>
        <w:t>方面</w:t>
      </w:r>
      <w:r>
        <w:rPr>
          <w:rFonts w:hint="eastAsia" w:ascii="仿宋" w:hAnsi="仿宋" w:eastAsia="仿宋" w:cs="仿宋"/>
          <w:b/>
          <w:color w:val="auto"/>
          <w:sz w:val="28"/>
          <w:szCs w:val="28"/>
        </w:rPr>
        <w:t>。</w:t>
      </w:r>
      <w:r>
        <w:rPr>
          <w:rFonts w:hint="eastAsia" w:ascii="仿宋" w:hAnsi="仿宋" w:eastAsia="仿宋" w:cs="仿宋"/>
          <w:b/>
          <w:color w:val="auto"/>
          <w:sz w:val="28"/>
          <w:szCs w:val="28"/>
          <w:lang w:eastAsia="zh-CN"/>
        </w:rPr>
        <w:t>一是</w:t>
      </w:r>
      <w:r>
        <w:rPr>
          <w:rFonts w:hint="eastAsia" w:ascii="仿宋" w:hAnsi="仿宋" w:eastAsia="仿宋" w:cs="仿宋"/>
          <w:color w:val="auto"/>
          <w:sz w:val="28"/>
          <w:szCs w:val="28"/>
        </w:rPr>
        <w:t>制定全年学生活动计划，如期组织推进各项学生活动。高质量举办“农民大学生创新创业演讲比赛”。</w:t>
      </w:r>
      <w:r>
        <w:rPr>
          <w:rFonts w:hint="eastAsia" w:ascii="仿宋" w:hAnsi="仿宋" w:eastAsia="仿宋" w:cs="仿宋"/>
          <w:b/>
          <w:color w:val="auto"/>
          <w:sz w:val="28"/>
          <w:szCs w:val="28"/>
          <w:lang w:eastAsia="zh-CN"/>
        </w:rPr>
        <w:t>二是</w:t>
      </w:r>
      <w:r>
        <w:rPr>
          <w:rFonts w:hint="eastAsia" w:ascii="仿宋" w:hAnsi="仿宋" w:eastAsia="仿宋" w:cs="仿宋"/>
          <w:color w:val="auto"/>
          <w:sz w:val="28"/>
          <w:szCs w:val="28"/>
        </w:rPr>
        <w:t>创新推出优秀学生干部“基层大调研”活动，受到各工作站点和广大学生干部的一致好评。</w:t>
      </w:r>
      <w:r>
        <w:rPr>
          <w:rFonts w:hint="eastAsia" w:ascii="仿宋" w:hAnsi="仿宋" w:eastAsia="仿宋" w:cs="仿宋"/>
          <w:b/>
          <w:color w:val="auto"/>
          <w:sz w:val="28"/>
          <w:szCs w:val="28"/>
          <w:lang w:eastAsia="zh-CN"/>
        </w:rPr>
        <w:t>三是</w:t>
      </w:r>
      <w:r>
        <w:rPr>
          <w:rFonts w:hint="eastAsia" w:ascii="仿宋" w:hAnsi="仿宋" w:eastAsia="仿宋" w:cs="仿宋"/>
          <w:color w:val="auto"/>
          <w:sz w:val="28"/>
          <w:szCs w:val="28"/>
        </w:rPr>
        <w:t>提高支持服务能力水平，及时掌握学生需求，以问题为导向，切实帮助解决学生提出的各种问题和困难。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楷体_GB2312" w:cs="Times New Roman"/>
          <w:b/>
          <w:bCs/>
          <w:color w:val="auto"/>
          <w:sz w:val="28"/>
          <w:szCs w:val="28"/>
          <w:lang w:val="en-US" w:eastAsia="zh-CN"/>
        </w:rPr>
      </w:pPr>
      <w:r>
        <w:rPr>
          <w:rFonts w:hint="default" w:ascii="Times New Roman" w:hAnsi="Times New Roman" w:eastAsia="楷体_GB2312" w:cs="Times New Roman"/>
          <w:b/>
          <w:bCs/>
          <w:color w:val="auto"/>
          <w:sz w:val="28"/>
          <w:szCs w:val="28"/>
          <w:lang w:val="en-US" w:eastAsia="zh-CN"/>
        </w:rPr>
        <w:t>（二）非学历教育工作</w:t>
      </w:r>
    </w:p>
    <w:p>
      <w:pPr>
        <w:ind w:firstLine="552" w:firstLineChars="200"/>
        <w:rPr>
          <w:rFonts w:hint="default" w:ascii="仿宋" w:hAnsi="仿宋" w:eastAsia="仿宋" w:cs="仿宋"/>
          <w:color w:val="auto"/>
          <w:spacing w:val="-2"/>
          <w:sz w:val="28"/>
          <w:szCs w:val="28"/>
          <w:shd w:val="clear" w:color="FFFFFF" w:fill="FFFFFF"/>
        </w:rPr>
      </w:pPr>
      <w:r>
        <w:rPr>
          <w:rFonts w:hint="default" w:ascii="仿宋" w:hAnsi="仿宋" w:eastAsia="仿宋" w:cs="仿宋"/>
          <w:b/>
          <w:bCs/>
          <w:color w:val="auto"/>
          <w:spacing w:val="-2"/>
          <w:sz w:val="28"/>
          <w:szCs w:val="28"/>
          <w:shd w:val="clear" w:color="FFFFFF" w:fill="FFFFFF"/>
          <w:lang w:val="en-US" w:eastAsia="zh-CN"/>
        </w:rPr>
        <w:t>4.社区教育工作方面。</w:t>
      </w:r>
      <w:r>
        <w:rPr>
          <w:rFonts w:hint="default" w:ascii="仿宋" w:hAnsi="仿宋" w:eastAsia="仿宋" w:cs="仿宋"/>
          <w:color w:val="auto"/>
          <w:spacing w:val="-2"/>
          <w:sz w:val="28"/>
          <w:szCs w:val="28"/>
          <w:shd w:val="clear" w:color="FFFFFF" w:fill="FFFFFF"/>
        </w:rPr>
        <w:t>一是积极开展社区教育活动。进一步完善社区教育体系管理机制，探索开展社区学院（校）协议化管理模式；组织参与了第五届 NERC 杯全国社区教育优秀微课程评选，共建设、报送4门微课程参与活动；指导永兴县成功召开2019年度社区教育工作会议。二是老年教育有序开展。成功举办离退休干部“礼赞新中国·奋进新时代”太极拳比赛，目前有3支队伍晋级全省决赛，1支队伍进入复活赛；开办了书法、摄影、诗词等3个门类的老干部（老年）开放大学网络专题培训班；选拔老年教育骨干教师参与全省、全国的老年教育培训。三是强化社区教育理论研究工作。成功申报2019年湖南省职业教育教学改革（社区教育）研究项目；加大两个省级社区教育课题的支持力度，协调配合开展相关的调研、实验、数据统计工作；成立了我市社区教育和老年教育研究团队。</w:t>
      </w:r>
    </w:p>
    <w:p>
      <w:pPr>
        <w:ind w:firstLine="552" w:firstLineChars="200"/>
        <w:rPr>
          <w:rFonts w:hint="default" w:ascii="仿宋" w:hAnsi="仿宋" w:eastAsia="仿宋" w:cs="仿宋"/>
          <w:color w:val="auto"/>
          <w:spacing w:val="-2"/>
          <w:sz w:val="28"/>
          <w:szCs w:val="28"/>
          <w:shd w:val="clear" w:color="FFFFFF" w:fill="FFFFFF"/>
          <w:lang w:val="en-US" w:eastAsia="zh-CN"/>
        </w:rPr>
      </w:pPr>
      <w:r>
        <w:rPr>
          <w:rFonts w:hint="default" w:ascii="仿宋" w:hAnsi="仿宋" w:eastAsia="仿宋" w:cs="仿宋"/>
          <w:b/>
          <w:bCs/>
          <w:color w:val="auto"/>
          <w:spacing w:val="-2"/>
          <w:sz w:val="28"/>
          <w:szCs w:val="28"/>
          <w:shd w:val="clear" w:color="FFFFFF" w:fill="FFFFFF"/>
          <w:lang w:val="en-US" w:eastAsia="zh-CN"/>
        </w:rPr>
        <w:t>5.培训工作方面。</w:t>
      </w:r>
      <w:r>
        <w:rPr>
          <w:rFonts w:hint="default" w:ascii="仿宋" w:hAnsi="仿宋" w:eastAsia="仿宋" w:cs="仿宋"/>
          <w:color w:val="auto"/>
          <w:spacing w:val="-2"/>
          <w:sz w:val="28"/>
          <w:szCs w:val="28"/>
          <w:shd w:val="clear" w:color="FFFFFF" w:fill="FFFFFF"/>
          <w:lang w:eastAsia="zh-CN"/>
        </w:rPr>
        <w:t>一是</w:t>
      </w:r>
      <w:r>
        <w:rPr>
          <w:rFonts w:hint="default" w:ascii="仿宋" w:hAnsi="仿宋" w:eastAsia="仿宋" w:cs="仿宋"/>
          <w:color w:val="auto"/>
          <w:spacing w:val="-2"/>
          <w:sz w:val="28"/>
          <w:szCs w:val="28"/>
          <w:shd w:val="clear" w:color="FFFFFF" w:fill="FFFFFF"/>
        </w:rPr>
        <w:t>按照市教育局教师培训计划，全年</w:t>
      </w:r>
      <w:r>
        <w:rPr>
          <w:rFonts w:hint="default" w:ascii="仿宋" w:hAnsi="仿宋" w:eastAsia="仿宋" w:cs="仿宋"/>
          <w:color w:val="auto"/>
          <w:spacing w:val="-2"/>
          <w:sz w:val="28"/>
          <w:szCs w:val="28"/>
          <w:shd w:val="clear" w:color="FFFFFF" w:fill="FFFFFF"/>
          <w:lang w:eastAsia="zh-CN"/>
        </w:rPr>
        <w:t>我</w:t>
      </w:r>
      <w:r>
        <w:rPr>
          <w:rFonts w:hint="default" w:ascii="仿宋" w:hAnsi="仿宋" w:eastAsia="仿宋" w:cs="仿宋"/>
          <w:color w:val="auto"/>
          <w:spacing w:val="-2"/>
          <w:sz w:val="28"/>
          <w:szCs w:val="28"/>
          <w:shd w:val="clear" w:color="FFFFFF" w:fill="FFFFFF"/>
        </w:rPr>
        <w:t>中心承接17个班，参训教师1790人，预算经费149万，到目前为止已办培训班7个，参训教师1133人</w:t>
      </w:r>
      <w:r>
        <w:rPr>
          <w:rFonts w:hint="default" w:ascii="仿宋" w:hAnsi="仿宋" w:eastAsia="仿宋" w:cs="仿宋"/>
          <w:color w:val="auto"/>
          <w:spacing w:val="-2"/>
          <w:sz w:val="28"/>
          <w:szCs w:val="28"/>
          <w:shd w:val="clear" w:color="FFFFFF" w:fill="FFFFFF"/>
          <w:lang w:eastAsia="zh-CN"/>
        </w:rPr>
        <w:t>。二是</w:t>
      </w:r>
      <w:r>
        <w:rPr>
          <w:rFonts w:hint="default" w:ascii="仿宋" w:hAnsi="仿宋" w:eastAsia="仿宋" w:cs="仿宋"/>
          <w:color w:val="auto"/>
          <w:spacing w:val="-2"/>
          <w:sz w:val="28"/>
          <w:szCs w:val="28"/>
          <w:shd w:val="clear" w:color="FFFFFF" w:fill="FFFFFF"/>
        </w:rPr>
        <w:t>协助</w:t>
      </w:r>
      <w:r>
        <w:rPr>
          <w:rFonts w:hint="default" w:ascii="仿宋" w:hAnsi="仿宋" w:eastAsia="仿宋" w:cs="仿宋"/>
          <w:color w:val="auto"/>
          <w:spacing w:val="-2"/>
          <w:sz w:val="28"/>
          <w:szCs w:val="28"/>
          <w:shd w:val="clear" w:color="FFFFFF" w:fill="FFFFFF"/>
          <w:lang w:eastAsia="zh-CN"/>
        </w:rPr>
        <w:t>完成</w:t>
      </w:r>
      <w:r>
        <w:rPr>
          <w:rFonts w:hint="default" w:ascii="仿宋" w:hAnsi="仿宋" w:eastAsia="仿宋" w:cs="仿宋"/>
          <w:color w:val="auto"/>
          <w:spacing w:val="-2"/>
          <w:sz w:val="28"/>
          <w:szCs w:val="28"/>
          <w:shd w:val="clear" w:color="FFFFFF" w:fill="FFFFFF"/>
          <w:lang w:val="en-US" w:eastAsia="zh-CN"/>
        </w:rPr>
        <w:t>5344</w:t>
      </w:r>
      <w:r>
        <w:rPr>
          <w:rFonts w:hint="default" w:ascii="仿宋" w:hAnsi="仿宋" w:eastAsia="仿宋" w:cs="仿宋"/>
          <w:color w:val="auto"/>
          <w:spacing w:val="-2"/>
          <w:sz w:val="28"/>
          <w:szCs w:val="28"/>
          <w:shd w:val="clear" w:color="FFFFFF" w:fill="FFFFFF"/>
          <w:lang w:eastAsia="zh-CN"/>
        </w:rPr>
        <w:t>人教师证资格证考试的面试工作，</w:t>
      </w:r>
      <w:r>
        <w:rPr>
          <w:rFonts w:hint="default" w:ascii="仿宋" w:hAnsi="仿宋" w:eastAsia="仿宋" w:cs="仿宋"/>
          <w:color w:val="auto"/>
          <w:spacing w:val="-2"/>
          <w:sz w:val="28"/>
          <w:szCs w:val="28"/>
          <w:shd w:val="clear" w:color="FFFFFF" w:fill="FFFFFF"/>
        </w:rPr>
        <w:t>高中（中职）阶段</w:t>
      </w:r>
      <w:r>
        <w:rPr>
          <w:rFonts w:hint="default" w:ascii="仿宋" w:hAnsi="仿宋" w:eastAsia="仿宋" w:cs="仿宋"/>
          <w:color w:val="auto"/>
          <w:spacing w:val="-2"/>
          <w:sz w:val="28"/>
          <w:szCs w:val="28"/>
          <w:shd w:val="clear" w:color="FFFFFF" w:fill="FFFFFF"/>
          <w:lang w:eastAsia="zh-CN"/>
        </w:rPr>
        <w:t>教师资格认定通过</w:t>
      </w:r>
      <w:r>
        <w:rPr>
          <w:rFonts w:hint="default" w:ascii="仿宋" w:hAnsi="仿宋" w:eastAsia="仿宋" w:cs="仿宋"/>
          <w:color w:val="auto"/>
          <w:spacing w:val="-2"/>
          <w:sz w:val="28"/>
          <w:szCs w:val="28"/>
          <w:shd w:val="clear" w:color="FFFFFF" w:fill="FFFFFF"/>
          <w:lang w:val="en-US" w:eastAsia="zh-CN"/>
        </w:rPr>
        <w:t>1047</w:t>
      </w:r>
      <w:r>
        <w:rPr>
          <w:rFonts w:hint="default" w:ascii="仿宋" w:hAnsi="仿宋" w:eastAsia="仿宋" w:cs="仿宋"/>
          <w:color w:val="auto"/>
          <w:spacing w:val="-2"/>
          <w:sz w:val="28"/>
          <w:szCs w:val="28"/>
          <w:shd w:val="clear" w:color="FFFFFF" w:fill="FFFFFF"/>
          <w:lang w:eastAsia="zh-CN"/>
        </w:rPr>
        <w:t>人；</w:t>
      </w:r>
      <w:r>
        <w:rPr>
          <w:rFonts w:hint="default" w:ascii="仿宋" w:hAnsi="仿宋" w:eastAsia="仿宋" w:cs="仿宋"/>
          <w:color w:val="auto"/>
          <w:spacing w:val="-2"/>
          <w:sz w:val="28"/>
          <w:szCs w:val="28"/>
          <w:shd w:val="clear" w:color="FFFFFF" w:fill="FFFFFF"/>
        </w:rPr>
        <w:t>完成2018年定期注册贴的打印与发放，共发放了2183份，其中合格结论为1875张</w:t>
      </w:r>
      <w:r>
        <w:rPr>
          <w:rFonts w:hint="default" w:ascii="仿宋" w:hAnsi="仿宋" w:eastAsia="仿宋" w:cs="仿宋"/>
          <w:color w:val="auto"/>
          <w:spacing w:val="-2"/>
          <w:sz w:val="28"/>
          <w:szCs w:val="28"/>
          <w:shd w:val="clear" w:color="FFFFFF" w:fill="FFFFFF"/>
          <w:lang w:eastAsia="zh-CN"/>
        </w:rPr>
        <w:t>。三是全</w:t>
      </w:r>
      <w:r>
        <w:rPr>
          <w:rFonts w:hint="default" w:ascii="仿宋" w:hAnsi="仿宋" w:eastAsia="仿宋" w:cs="仿宋"/>
          <w:color w:val="auto"/>
          <w:spacing w:val="-2"/>
          <w:sz w:val="28"/>
          <w:szCs w:val="28"/>
          <w:shd w:val="clear" w:color="FFFFFF" w:fill="FFFFFF"/>
        </w:rPr>
        <w:t>市11个县市区共申报了2187个农村教师公费定向培养计划，其中省项目计划1527人，市项目计划660人。</w:t>
      </w:r>
      <w:r>
        <w:rPr>
          <w:rFonts w:hint="default" w:ascii="仿宋" w:hAnsi="仿宋" w:eastAsia="仿宋" w:cs="仿宋"/>
          <w:color w:val="auto"/>
          <w:spacing w:val="-2"/>
          <w:sz w:val="28"/>
          <w:szCs w:val="28"/>
          <w:shd w:val="clear" w:color="FFFFFF" w:fill="FFFFFF"/>
          <w:lang w:eastAsia="zh-CN"/>
        </w:rPr>
        <w:t>四是</w:t>
      </w:r>
      <w:r>
        <w:rPr>
          <w:rFonts w:hint="default" w:ascii="仿宋" w:hAnsi="仿宋" w:eastAsia="仿宋" w:cs="仿宋"/>
          <w:color w:val="auto"/>
          <w:spacing w:val="-2"/>
          <w:sz w:val="28"/>
          <w:szCs w:val="28"/>
          <w:shd w:val="clear" w:color="FFFFFF" w:fill="FFFFFF"/>
        </w:rPr>
        <w:t>督促各县市区积极组织教师申报，解决县市区提出的各种疑问</w:t>
      </w:r>
      <w:r>
        <w:rPr>
          <w:rFonts w:hint="default" w:ascii="仿宋" w:hAnsi="仿宋" w:eastAsia="仿宋" w:cs="仿宋"/>
          <w:color w:val="auto"/>
          <w:spacing w:val="-2"/>
          <w:sz w:val="28"/>
          <w:szCs w:val="28"/>
          <w:shd w:val="clear" w:color="FFFFFF" w:fill="FFFFFF"/>
          <w:lang w:eastAsia="zh-CN"/>
        </w:rPr>
        <w:t>，</w:t>
      </w:r>
      <w:r>
        <w:rPr>
          <w:rFonts w:hint="default" w:ascii="仿宋" w:hAnsi="仿宋" w:eastAsia="仿宋" w:cs="仿宋"/>
          <w:color w:val="auto"/>
          <w:spacing w:val="-2"/>
          <w:sz w:val="28"/>
          <w:szCs w:val="28"/>
          <w:shd w:val="clear" w:color="FFFFFF" w:fill="FFFFFF"/>
        </w:rPr>
        <w:t>同时积极审核市直学校教师的申报材料。申报教师人数2209人，区域审核通过2153人。</w:t>
      </w:r>
      <w:r>
        <w:rPr>
          <w:rFonts w:hint="default" w:ascii="仿宋" w:hAnsi="仿宋" w:eastAsia="仿宋" w:cs="仿宋"/>
          <w:color w:val="auto"/>
          <w:spacing w:val="-2"/>
          <w:sz w:val="28"/>
          <w:szCs w:val="28"/>
          <w:shd w:val="clear" w:color="FFFFFF" w:fill="FFFFFF"/>
          <w:lang w:eastAsia="zh-CN"/>
        </w:rPr>
        <w:t>五是积极</w:t>
      </w:r>
      <w:r>
        <w:rPr>
          <w:rFonts w:hint="default" w:ascii="仿宋" w:hAnsi="仿宋" w:eastAsia="仿宋" w:cs="仿宋"/>
          <w:color w:val="auto"/>
          <w:spacing w:val="-2"/>
          <w:sz w:val="28"/>
          <w:szCs w:val="28"/>
          <w:shd w:val="clear" w:color="FFFFFF" w:fill="FFFFFF"/>
        </w:rPr>
        <w:t>承担面向社会的各类培训和社会考试，到目前为止，已承接培训班3个，参训人员149人；考试6种，参考</w:t>
      </w:r>
      <w:r>
        <w:rPr>
          <w:rFonts w:hint="default" w:ascii="仿宋" w:hAnsi="仿宋" w:eastAsia="仿宋" w:cs="仿宋"/>
          <w:color w:val="auto"/>
          <w:spacing w:val="-2"/>
          <w:sz w:val="28"/>
          <w:szCs w:val="28"/>
          <w:shd w:val="clear" w:color="FFFFFF" w:fill="FFFFFF"/>
          <w:lang w:eastAsia="zh-CN"/>
        </w:rPr>
        <w:t>人员达</w:t>
      </w:r>
      <w:r>
        <w:rPr>
          <w:rFonts w:hint="default" w:ascii="仿宋" w:hAnsi="仿宋" w:eastAsia="仿宋" w:cs="仿宋"/>
          <w:color w:val="auto"/>
          <w:spacing w:val="-2"/>
          <w:sz w:val="28"/>
          <w:szCs w:val="28"/>
          <w:shd w:val="clear" w:color="FFFFFF" w:fill="FFFFFF"/>
        </w:rPr>
        <w:t>8138人次。</w:t>
      </w:r>
    </w:p>
    <w:p>
      <w:pPr>
        <w:ind w:firstLine="552" w:firstLineChars="200"/>
        <w:rPr>
          <w:rFonts w:hint="default" w:ascii="仿宋" w:hAnsi="仿宋" w:eastAsia="仿宋" w:cs="仿宋"/>
          <w:color w:val="auto"/>
          <w:spacing w:val="-2"/>
          <w:sz w:val="28"/>
          <w:szCs w:val="28"/>
          <w:shd w:val="clear" w:color="FFFFFF" w:fill="FFFFFF"/>
        </w:rPr>
      </w:pPr>
      <w:r>
        <w:rPr>
          <w:rFonts w:hint="default" w:ascii="仿宋" w:hAnsi="仿宋" w:eastAsia="仿宋" w:cs="仿宋"/>
          <w:b/>
          <w:bCs/>
          <w:color w:val="auto"/>
          <w:spacing w:val="-2"/>
          <w:sz w:val="28"/>
          <w:szCs w:val="28"/>
          <w:shd w:val="clear" w:color="FFFFFF" w:fill="FFFFFF"/>
          <w:lang w:val="en-US" w:eastAsia="zh-CN"/>
        </w:rPr>
        <w:t>6.干部教育工作方面。</w:t>
      </w:r>
      <w:r>
        <w:rPr>
          <w:rFonts w:hint="default" w:ascii="仿宋" w:hAnsi="仿宋" w:eastAsia="仿宋" w:cs="仿宋"/>
          <w:color w:val="auto"/>
          <w:spacing w:val="-2"/>
          <w:sz w:val="28"/>
          <w:szCs w:val="28"/>
          <w:shd w:val="clear" w:color="FFFFFF" w:fill="FFFFFF"/>
        </w:rPr>
        <w:t>一是制定年度学习计划，确保调训工作稳步开展。为确保2019年干部在线教育工作顺利开展，年初，我办严格按照市委组织部、省干部教育培训网络学院规划安排，制定年度培训计划。已完成全市11个县市区，市直120余单位共计23026名干部学员信息录入、联络员信息确认、单位异动、禁学、退学等参学准备工作，为培训工作顺利实施做好了准备。二是执行学习规划，把干部教育培训工作落到实处。在市干部教育培训网络学院举办习近平新时代中国特色社会主义思想系列培训之“政治能力建设专题培训班”。组织调训全市副科级干部1686人参学“政治能力建设专题培训班”，并以总体完成率94.45%位列全省各地市州第一位。三是增设平台管理权限，加强全市联络员队伍建设。2019年，我市干部在线学员稳步增长3909人，同比增长20.44%，市直单位参学干部人数大幅增加，占全市参学人数的76.6%。为方便各主管单位管理本系统干部学员数据，增强全市督学促学力度，按照市委组织部的要求，网院及时增设了各县市区、市直各单位干部在线平台管理权限,加设二级单位管理权限31个。</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楷体_GB2312" w:cs="Times New Roman"/>
          <w:b/>
          <w:bCs/>
          <w:color w:val="auto"/>
          <w:sz w:val="28"/>
          <w:szCs w:val="28"/>
          <w:lang w:val="en-US" w:eastAsia="zh-CN"/>
        </w:rPr>
      </w:pPr>
      <w:r>
        <w:rPr>
          <w:rFonts w:hint="default" w:ascii="Times New Roman" w:hAnsi="Times New Roman" w:eastAsia="楷体_GB2312" w:cs="Times New Roman"/>
          <w:b/>
          <w:bCs/>
          <w:color w:val="auto"/>
          <w:sz w:val="28"/>
          <w:szCs w:val="28"/>
          <w:lang w:val="en-US" w:eastAsia="zh-CN"/>
        </w:rPr>
        <w:t>（三）项目建设工作</w:t>
      </w:r>
    </w:p>
    <w:p>
      <w:pPr>
        <w:ind w:firstLine="552" w:firstLineChars="200"/>
        <w:rPr>
          <w:rFonts w:hint="default" w:ascii="仿宋" w:hAnsi="仿宋" w:eastAsia="仿宋" w:cs="仿宋"/>
          <w:color w:val="auto"/>
          <w:spacing w:val="-2"/>
          <w:sz w:val="28"/>
          <w:szCs w:val="28"/>
          <w:shd w:val="clear" w:color="FFFFFF" w:fill="FFFFFF"/>
          <w:lang w:val="en-US" w:eastAsia="zh-CN"/>
        </w:rPr>
      </w:pPr>
      <w:r>
        <w:rPr>
          <w:rFonts w:hint="default" w:ascii="仿宋" w:hAnsi="仿宋" w:eastAsia="仿宋" w:cs="仿宋"/>
          <w:color w:val="auto"/>
          <w:spacing w:val="-2"/>
          <w:sz w:val="28"/>
          <w:szCs w:val="28"/>
          <w:shd w:val="clear" w:color="FFFFFF" w:fill="FFFFFF"/>
        </w:rPr>
        <w:t>校园提质</w:t>
      </w:r>
      <w:r>
        <w:rPr>
          <w:rFonts w:hint="default" w:ascii="仿宋" w:hAnsi="仿宋" w:eastAsia="仿宋" w:cs="仿宋"/>
          <w:color w:val="auto"/>
          <w:spacing w:val="-2"/>
          <w:sz w:val="28"/>
          <w:szCs w:val="28"/>
          <w:shd w:val="clear" w:color="FFFFFF" w:fill="FFFFFF"/>
          <w:lang w:eastAsia="zh-CN"/>
        </w:rPr>
        <w:t>改造项目进展顺利，</w:t>
      </w:r>
      <w:r>
        <w:rPr>
          <w:rFonts w:hint="default" w:ascii="仿宋" w:hAnsi="仿宋" w:eastAsia="仿宋" w:cs="仿宋"/>
          <w:color w:val="auto"/>
          <w:spacing w:val="-2"/>
          <w:sz w:val="28"/>
          <w:szCs w:val="28"/>
          <w:shd w:val="clear" w:color="FFFFFF" w:fill="FFFFFF"/>
        </w:rPr>
        <w:t>校园工作和生活环境显著改善</w:t>
      </w:r>
      <w:r>
        <w:rPr>
          <w:rFonts w:hint="default" w:ascii="仿宋" w:hAnsi="仿宋" w:eastAsia="仿宋" w:cs="仿宋"/>
          <w:color w:val="auto"/>
          <w:spacing w:val="-2"/>
          <w:sz w:val="28"/>
          <w:szCs w:val="28"/>
          <w:shd w:val="clear" w:color="FFFFFF" w:fill="FFFFFF"/>
          <w:lang w:eastAsia="zh-CN"/>
        </w:rPr>
        <w:t>。</w:t>
      </w:r>
      <w:r>
        <w:rPr>
          <w:rFonts w:hint="default" w:ascii="仿宋" w:hAnsi="仿宋" w:eastAsia="仿宋" w:cs="仿宋"/>
          <w:color w:val="auto"/>
          <w:spacing w:val="-2"/>
          <w:sz w:val="28"/>
          <w:szCs w:val="28"/>
          <w:shd w:val="clear" w:color="FFFFFF" w:fill="FFFFFF"/>
          <w:lang w:val="en-US" w:eastAsia="zh-CN"/>
        </w:rPr>
        <w:t>学校综合楼、校门改造、室内球场、学员公寓、校园文化建设、书吧、美化亮化，</w:t>
      </w:r>
      <w:r>
        <w:rPr>
          <w:rFonts w:hint="default" w:ascii="仿宋" w:hAnsi="仿宋" w:eastAsia="仿宋" w:cs="仿宋"/>
          <w:color w:val="auto"/>
          <w:spacing w:val="-2"/>
          <w:sz w:val="28"/>
          <w:szCs w:val="28"/>
          <w:shd w:val="clear" w:color="FFFFFF" w:fill="FFFFFF"/>
        </w:rPr>
        <w:t>智慧党建、</w:t>
      </w:r>
      <w:r>
        <w:rPr>
          <w:rFonts w:hint="default" w:ascii="仿宋" w:hAnsi="仿宋" w:eastAsia="仿宋" w:cs="仿宋"/>
          <w:color w:val="auto"/>
          <w:spacing w:val="-2"/>
          <w:sz w:val="28"/>
          <w:szCs w:val="28"/>
          <w:shd w:val="clear" w:color="FFFFFF" w:fill="FFFFFF"/>
          <w:lang w:eastAsia="zh-CN"/>
        </w:rPr>
        <w:t>信息化平台和</w:t>
      </w:r>
      <w:r>
        <w:rPr>
          <w:rFonts w:hint="default" w:ascii="仿宋" w:hAnsi="仿宋" w:eastAsia="仿宋" w:cs="仿宋"/>
          <w:color w:val="auto"/>
          <w:spacing w:val="-2"/>
          <w:sz w:val="28"/>
          <w:szCs w:val="28"/>
          <w:shd w:val="clear" w:color="FFFFFF" w:fill="FFFFFF"/>
        </w:rPr>
        <w:t>机房</w:t>
      </w:r>
      <w:r>
        <w:rPr>
          <w:rFonts w:hint="default" w:ascii="仿宋" w:hAnsi="仿宋" w:eastAsia="仿宋" w:cs="仿宋"/>
          <w:color w:val="auto"/>
          <w:spacing w:val="-2"/>
          <w:sz w:val="28"/>
          <w:szCs w:val="28"/>
          <w:shd w:val="clear" w:color="FFFFFF" w:fill="FFFFFF"/>
          <w:lang w:eastAsia="zh-CN"/>
        </w:rPr>
        <w:t>等建设项目，</w:t>
      </w:r>
      <w:r>
        <w:rPr>
          <w:rFonts w:hint="default" w:ascii="仿宋" w:hAnsi="仿宋" w:eastAsia="仿宋" w:cs="仿宋"/>
          <w:color w:val="auto"/>
          <w:spacing w:val="-2"/>
          <w:sz w:val="28"/>
          <w:szCs w:val="28"/>
          <w:shd w:val="clear" w:color="FFFFFF" w:fill="FFFFFF"/>
          <w:lang w:val="en-US" w:eastAsia="zh-CN"/>
        </w:rPr>
        <w:t>今年相继投入使用</w:t>
      </w:r>
      <w:r>
        <w:rPr>
          <w:rFonts w:hint="default" w:ascii="仿宋" w:hAnsi="仿宋" w:eastAsia="仿宋" w:cs="仿宋"/>
          <w:color w:val="auto"/>
          <w:spacing w:val="-2"/>
          <w:sz w:val="28"/>
          <w:szCs w:val="28"/>
          <w:shd w:val="clear" w:color="FFFFFF" w:fill="FFFFFF"/>
          <w:lang w:eastAsia="zh-CN"/>
        </w:rPr>
        <w:t>。</w:t>
      </w:r>
    </w:p>
    <w:p>
      <w:pPr>
        <w:pStyle w:val="15"/>
        <w:spacing w:line="580" w:lineRule="exact"/>
        <w:ind w:firstLine="600"/>
        <w:rPr>
          <w:rFonts w:ascii="Times New Roman" w:hAnsi="Times New Roman" w:eastAsia="黑体"/>
          <w:color w:val="auto"/>
          <w:sz w:val="30"/>
          <w:szCs w:val="30"/>
        </w:rPr>
      </w:pPr>
      <w:r>
        <w:rPr>
          <w:rFonts w:ascii="Times New Roman" w:hAnsi="Times New Roman" w:eastAsia="黑体"/>
          <w:color w:val="auto"/>
          <w:sz w:val="30"/>
          <w:szCs w:val="30"/>
        </w:rPr>
        <w:t>七、存在的问题及原因分析</w:t>
      </w:r>
    </w:p>
    <w:p>
      <w:pPr>
        <w:ind w:firstLine="552" w:firstLineChars="200"/>
        <w:rPr>
          <w:rFonts w:hint="eastAsia" w:ascii="仿宋" w:hAnsi="仿宋" w:eastAsia="仿宋" w:cs="仿宋"/>
          <w:color w:val="auto"/>
          <w:spacing w:val="-2"/>
          <w:sz w:val="28"/>
          <w:szCs w:val="28"/>
          <w:shd w:val="clear" w:color="FFFFFF" w:fill="FFFFFF"/>
        </w:rPr>
      </w:pPr>
      <w:r>
        <w:rPr>
          <w:rFonts w:hint="eastAsia" w:ascii="仿宋" w:hAnsi="仿宋" w:eastAsia="仿宋" w:cs="仿宋"/>
          <w:color w:val="auto"/>
          <w:spacing w:val="-2"/>
          <w:sz w:val="28"/>
          <w:szCs w:val="28"/>
          <w:shd w:val="clear" w:color="FFFFFF" w:fill="FFFFFF"/>
        </w:rPr>
        <w:t>1、资金使用效益</w:t>
      </w:r>
      <w:r>
        <w:rPr>
          <w:rFonts w:hint="eastAsia" w:ascii="仿宋" w:hAnsi="仿宋" w:eastAsia="仿宋" w:cs="仿宋"/>
          <w:color w:val="auto"/>
          <w:spacing w:val="-2"/>
          <w:sz w:val="28"/>
          <w:szCs w:val="28"/>
          <w:shd w:val="clear" w:color="FFFFFF" w:fill="FFFFFF"/>
          <w:lang w:eastAsia="zh-CN"/>
        </w:rPr>
        <w:t>还</w:t>
      </w:r>
      <w:r>
        <w:rPr>
          <w:rFonts w:hint="eastAsia" w:ascii="仿宋" w:hAnsi="仿宋" w:eastAsia="仿宋" w:cs="仿宋"/>
          <w:color w:val="auto"/>
          <w:spacing w:val="-2"/>
          <w:sz w:val="28"/>
          <w:szCs w:val="28"/>
          <w:shd w:val="clear" w:color="FFFFFF" w:fill="FFFFFF"/>
        </w:rPr>
        <w:t>有待进一步提高。</w:t>
      </w:r>
    </w:p>
    <w:p>
      <w:pPr>
        <w:ind w:firstLine="552" w:firstLineChars="200"/>
        <w:rPr>
          <w:rFonts w:hint="eastAsia" w:ascii="仿宋" w:hAnsi="仿宋" w:eastAsia="仿宋" w:cs="仿宋"/>
          <w:color w:val="auto"/>
          <w:spacing w:val="-2"/>
          <w:sz w:val="28"/>
          <w:szCs w:val="28"/>
          <w:shd w:val="clear" w:color="FFFFFF" w:fill="FFFFFF"/>
        </w:rPr>
      </w:pPr>
      <w:r>
        <w:rPr>
          <w:rFonts w:hint="eastAsia" w:ascii="仿宋" w:hAnsi="仿宋" w:eastAsia="仿宋" w:cs="仿宋"/>
          <w:color w:val="auto"/>
          <w:spacing w:val="-2"/>
          <w:sz w:val="28"/>
          <w:szCs w:val="28"/>
          <w:shd w:val="clear" w:color="FFFFFF" w:fill="FFFFFF"/>
        </w:rPr>
        <w:t>2、</w:t>
      </w:r>
      <w:r>
        <w:rPr>
          <w:rFonts w:hint="eastAsia" w:ascii="仿宋" w:hAnsi="仿宋" w:eastAsia="仿宋" w:cs="仿宋"/>
          <w:color w:val="auto"/>
          <w:spacing w:val="-2"/>
          <w:sz w:val="28"/>
          <w:szCs w:val="28"/>
        </w:rPr>
        <w:t>单位绩效管理制度不够健全，各岗位分工不明确，绩效管理意识淡薄。</w:t>
      </w:r>
      <w:r>
        <w:rPr>
          <w:rFonts w:hint="eastAsia" w:ascii="仿宋" w:hAnsi="仿宋" w:eastAsia="仿宋" w:cs="仿宋"/>
          <w:color w:val="auto"/>
          <w:spacing w:val="-2"/>
          <w:sz w:val="28"/>
          <w:szCs w:val="28"/>
          <w:shd w:val="clear" w:color="FFFFFF" w:fill="FFFFFF"/>
        </w:rPr>
        <w:t>项目单位虽然设立了项目资金绩效目标，但目标不够明确、细化和量化。</w:t>
      </w:r>
    </w:p>
    <w:p>
      <w:pPr>
        <w:ind w:firstLine="552" w:firstLineChars="200"/>
        <w:rPr>
          <w:rFonts w:hint="eastAsia" w:ascii="仿宋" w:hAnsi="仿宋" w:eastAsia="仿宋" w:cs="仿宋"/>
          <w:color w:val="auto"/>
          <w:spacing w:val="-2"/>
          <w:sz w:val="28"/>
          <w:szCs w:val="28"/>
          <w:shd w:val="clear" w:color="FFFFFF" w:fill="FFFFFF"/>
        </w:rPr>
      </w:pPr>
      <w:r>
        <w:rPr>
          <w:rFonts w:hint="eastAsia" w:ascii="仿宋" w:hAnsi="仿宋" w:eastAsia="仿宋" w:cs="仿宋"/>
          <w:color w:val="auto"/>
          <w:spacing w:val="-2"/>
          <w:sz w:val="28"/>
          <w:szCs w:val="28"/>
          <w:shd w:val="clear" w:color="FFFFFF" w:fill="FFFFFF"/>
          <w:lang w:val="en-US" w:eastAsia="zh-CN"/>
        </w:rPr>
        <w:t>3</w:t>
      </w:r>
      <w:r>
        <w:rPr>
          <w:rFonts w:hint="eastAsia" w:ascii="仿宋" w:hAnsi="仿宋" w:eastAsia="仿宋" w:cs="仿宋"/>
          <w:color w:val="auto"/>
          <w:spacing w:val="-2"/>
          <w:sz w:val="28"/>
          <w:szCs w:val="28"/>
          <w:shd w:val="clear" w:color="FFFFFF" w:fill="FFFFFF"/>
        </w:rPr>
        <w:t>、事业收入</w:t>
      </w:r>
      <w:r>
        <w:rPr>
          <w:rFonts w:hint="eastAsia" w:ascii="仿宋" w:hAnsi="仿宋" w:eastAsia="仿宋" w:cs="仿宋"/>
          <w:color w:val="auto"/>
          <w:sz w:val="28"/>
          <w:szCs w:val="28"/>
          <w:lang w:eastAsia="zh-CN"/>
        </w:rPr>
        <w:t>纳入财政专户管理的资金</w:t>
      </w:r>
      <w:r>
        <w:rPr>
          <w:rFonts w:hint="eastAsia" w:ascii="仿宋" w:hAnsi="仿宋" w:eastAsia="仿宋" w:cs="仿宋"/>
          <w:color w:val="auto"/>
          <w:spacing w:val="-2"/>
          <w:sz w:val="28"/>
          <w:szCs w:val="28"/>
          <w:shd w:val="clear" w:color="FFFFFF" w:fill="FFFFFF"/>
        </w:rPr>
        <w:t>预算水平有待提高。</w:t>
      </w:r>
    </w:p>
    <w:p>
      <w:pPr>
        <w:ind w:firstLine="552" w:firstLineChars="200"/>
        <w:rPr>
          <w:rFonts w:hint="eastAsia" w:ascii="仿宋" w:hAnsi="仿宋" w:eastAsia="仿宋" w:cs="仿宋"/>
          <w:color w:val="auto"/>
          <w:spacing w:val="-2"/>
          <w:sz w:val="28"/>
          <w:szCs w:val="28"/>
          <w:shd w:val="clear" w:color="FFFFFF" w:fill="FFFFFF"/>
        </w:rPr>
      </w:pPr>
      <w:r>
        <w:rPr>
          <w:rFonts w:hint="eastAsia" w:ascii="仿宋" w:hAnsi="仿宋" w:eastAsia="仿宋" w:cs="仿宋"/>
          <w:color w:val="auto"/>
          <w:spacing w:val="-2"/>
          <w:sz w:val="28"/>
          <w:szCs w:val="28"/>
          <w:shd w:val="clear" w:color="FFFFFF" w:fill="FFFFFF"/>
          <w:lang w:val="en-US" w:eastAsia="zh-CN"/>
        </w:rPr>
        <w:t>4</w:t>
      </w:r>
      <w:r>
        <w:rPr>
          <w:rFonts w:hint="eastAsia" w:ascii="仿宋" w:hAnsi="仿宋" w:eastAsia="仿宋" w:cs="仿宋"/>
          <w:color w:val="auto"/>
          <w:spacing w:val="-2"/>
          <w:sz w:val="28"/>
          <w:szCs w:val="28"/>
          <w:shd w:val="clear" w:color="FFFFFF" w:fill="FFFFFF"/>
        </w:rPr>
        <w:t>、项目资金的预算完成率有待提高。</w:t>
      </w:r>
    </w:p>
    <w:p>
      <w:pPr>
        <w:ind w:firstLine="552" w:firstLineChars="200"/>
        <w:rPr>
          <w:rFonts w:hint="eastAsia" w:ascii="仿宋" w:hAnsi="仿宋" w:eastAsia="仿宋" w:cs="仿宋"/>
          <w:color w:val="auto"/>
          <w:spacing w:val="-2"/>
          <w:sz w:val="28"/>
          <w:szCs w:val="28"/>
          <w:lang w:eastAsia="zh-CN"/>
        </w:rPr>
      </w:pPr>
      <w:r>
        <w:rPr>
          <w:rFonts w:hint="eastAsia" w:ascii="仿宋" w:hAnsi="仿宋" w:eastAsia="仿宋" w:cs="仿宋"/>
          <w:color w:val="auto"/>
          <w:spacing w:val="-2"/>
          <w:sz w:val="28"/>
          <w:szCs w:val="28"/>
          <w:lang w:val="en-US" w:eastAsia="zh-CN"/>
        </w:rPr>
        <w:t>5、</w:t>
      </w:r>
      <w:r>
        <w:rPr>
          <w:rFonts w:hint="eastAsia" w:ascii="仿宋" w:hAnsi="仿宋" w:eastAsia="仿宋" w:cs="仿宋"/>
          <w:color w:val="auto"/>
          <w:spacing w:val="-2"/>
          <w:sz w:val="28"/>
          <w:szCs w:val="28"/>
        </w:rPr>
        <w:t>某些专项资金发生支出时资金未到账，使用公用经费垫付，后期到</w:t>
      </w:r>
      <w:bookmarkStart w:id="0" w:name="_GoBack"/>
      <w:bookmarkEnd w:id="0"/>
      <w:r>
        <w:rPr>
          <w:rFonts w:hint="eastAsia" w:ascii="仿宋" w:hAnsi="仿宋" w:eastAsia="仿宋" w:cs="仿宋"/>
          <w:color w:val="auto"/>
          <w:spacing w:val="-2"/>
          <w:sz w:val="28"/>
          <w:szCs w:val="28"/>
        </w:rPr>
        <w:t>账后未能按其名目使用完毕，指标不能完全做到对应使用</w:t>
      </w:r>
      <w:r>
        <w:rPr>
          <w:rFonts w:hint="eastAsia" w:ascii="仿宋" w:hAnsi="仿宋" w:eastAsia="仿宋" w:cs="仿宋"/>
          <w:color w:val="auto"/>
          <w:spacing w:val="-2"/>
          <w:sz w:val="28"/>
          <w:szCs w:val="28"/>
          <w:lang w:eastAsia="zh-CN"/>
        </w:rPr>
        <w:t>。</w:t>
      </w:r>
    </w:p>
    <w:p>
      <w:pPr>
        <w:spacing w:line="580" w:lineRule="exact"/>
        <w:ind w:firstLine="600" w:firstLineChars="200"/>
        <w:rPr>
          <w:rFonts w:eastAsia="黑体"/>
          <w:color w:val="auto"/>
          <w:sz w:val="30"/>
          <w:szCs w:val="30"/>
        </w:rPr>
      </w:pPr>
      <w:r>
        <w:rPr>
          <w:rFonts w:eastAsia="黑体"/>
          <w:color w:val="auto"/>
          <w:sz w:val="30"/>
          <w:szCs w:val="30"/>
        </w:rPr>
        <w:t>八、下一步改进措施</w:t>
      </w:r>
    </w:p>
    <w:p>
      <w:pPr>
        <w:spacing w:line="58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fldChar w:fldCharType="begin">
          <w:fldData xml:space="preserve">OABBADMAOABCADMARQAwADMARABGAEMANAAwADAAMwA4AEYAMwBGAEYARAA5ADIARQBGAEQANgA4
AEEARQBBAA==
</w:fldData>
        </w:fldChar>
      </w:r>
      <w:r>
        <w:rPr>
          <w:rFonts w:hint="eastAsia" w:ascii="仿宋" w:hAnsi="仿宋" w:eastAsia="仿宋"/>
          <w:color w:val="auto"/>
          <w:sz w:val="28"/>
          <w:szCs w:val="28"/>
        </w:rPr>
        <w:instrText xml:space="preserve">Addin 改进措施和有关建议</w:instrText>
      </w:r>
      <w:r>
        <w:rPr>
          <w:rFonts w:hint="eastAsia" w:ascii="仿宋" w:hAnsi="仿宋" w:eastAsia="仿宋"/>
          <w:color w:val="auto"/>
          <w:sz w:val="28"/>
          <w:szCs w:val="28"/>
        </w:rPr>
        <w:fldChar w:fldCharType="separate"/>
      </w:r>
      <w:r>
        <w:rPr>
          <w:rFonts w:hint="eastAsia" w:ascii="仿宋" w:hAnsi="仿宋" w:eastAsia="仿宋"/>
          <w:color w:val="auto"/>
          <w:sz w:val="28"/>
          <w:szCs w:val="28"/>
        </w:rPr>
        <w:t>加强资金管理，合理安排进度并执行。在执行过程中，做到严格控制支出，合理安排经费，做到细化支出，确保绩效执行和年初设定的绩效相一致。加快资金使用进度，避免账面存量资金过大。加强预算相关学习，提升预算水平。建立健全绩效考评制度，明确各岗位分工职责，使单位人员考核与绩效完成情况挂钩。进一步规范绩效目标编制。在编制项目资金绩效目标时要求指向明确、细化量化、合理可行、相应匹配。</w:t>
      </w:r>
    </w:p>
    <w:p>
      <w:pPr>
        <w:spacing w:line="580" w:lineRule="exact"/>
        <w:ind w:firstLine="560" w:firstLineChars="200"/>
        <w:rPr>
          <w:rFonts w:eastAsia="黑体"/>
          <w:color w:val="auto"/>
          <w:sz w:val="30"/>
          <w:szCs w:val="30"/>
        </w:rPr>
      </w:pPr>
      <w:r>
        <w:rPr>
          <w:rFonts w:hint="eastAsia" w:ascii="仿宋" w:hAnsi="仿宋" w:eastAsia="仿宋"/>
          <w:color w:val="auto"/>
          <w:sz w:val="28"/>
          <w:szCs w:val="28"/>
        </w:rPr>
        <w:fldChar w:fldCharType="end"/>
      </w:r>
      <w:r>
        <w:rPr>
          <w:rFonts w:eastAsia="黑体"/>
          <w:color w:val="auto"/>
          <w:sz w:val="30"/>
          <w:szCs w:val="30"/>
        </w:rPr>
        <w:t>九、绩效自评结果拟应用和公开情况</w:t>
      </w:r>
    </w:p>
    <w:p>
      <w:pPr>
        <w:spacing w:line="58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高度重视绩效评价结果的应用工作，积极探索和建立一套与预算管理相结合、多渠道应用评价结果的有效机制，着力提高绩效意识和财政资金使用效益。同时将部门整体支出绩效自评报告</w:t>
      </w:r>
      <w:r>
        <w:rPr>
          <w:rFonts w:hint="eastAsia" w:ascii="仿宋" w:hAnsi="仿宋" w:eastAsia="仿宋"/>
          <w:color w:val="auto"/>
          <w:sz w:val="28"/>
          <w:szCs w:val="28"/>
          <w:lang w:eastAsia="zh-CN"/>
        </w:rPr>
        <w:t>按要求</w:t>
      </w:r>
      <w:r>
        <w:rPr>
          <w:rFonts w:hint="eastAsia" w:ascii="仿宋" w:hAnsi="仿宋" w:eastAsia="仿宋"/>
          <w:color w:val="auto"/>
          <w:sz w:val="28"/>
          <w:szCs w:val="28"/>
        </w:rPr>
        <w:t>在单位门户网站上进行公开，广泛接受社会监督。</w:t>
      </w:r>
    </w:p>
    <w:p>
      <w:pPr>
        <w:spacing w:line="580" w:lineRule="exact"/>
        <w:ind w:firstLine="560" w:firstLineChars="200"/>
        <w:rPr>
          <w:rFonts w:hint="eastAsia" w:ascii="仿宋" w:hAnsi="仿宋" w:eastAsia="仿宋"/>
          <w:color w:val="auto"/>
          <w:sz w:val="28"/>
          <w:szCs w:val="28"/>
        </w:rPr>
      </w:pPr>
    </w:p>
    <w:p>
      <w:pPr>
        <w:ind w:firstLine="640" w:firstLineChars="200"/>
        <w:jc w:val="left"/>
        <w:rPr>
          <w:rFonts w:cs="黑体" w:asciiTheme="minorEastAsia" w:hAnsiTheme="minorEastAsia"/>
          <w:color w:val="auto"/>
          <w:kern w:val="0"/>
          <w:sz w:val="32"/>
          <w:szCs w:val="32"/>
        </w:rPr>
      </w:pPr>
    </w:p>
    <w:sectPr>
      <w:pgSz w:w="11906" w:h="16838"/>
      <w:pgMar w:top="1417" w:right="1417" w:bottom="1134" w:left="1417" w:header="851" w:footer="992" w:gutter="0"/>
      <w:cols w:space="0" w:num="1"/>
      <w:rtlGutter w:val="0"/>
      <w:docGrid w:type="linesAndChar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0202A0"/>
    <w:multiLevelType w:val="singleLevel"/>
    <w:tmpl w:val="F80202A0"/>
    <w:lvl w:ilvl="0" w:tentative="0">
      <w:start w:val="1"/>
      <w:numFmt w:val="chineseCounting"/>
      <w:suff w:val="nothing"/>
      <w:lvlText w:val="%1、"/>
      <w:lvlJc w:val="left"/>
      <w:rPr>
        <w:rFonts w:hint="eastAsia"/>
      </w:rPr>
    </w:lvl>
  </w:abstractNum>
  <w:abstractNum w:abstractNumId="1">
    <w:nsid w:val="1C68D24B"/>
    <w:multiLevelType w:val="singleLevel"/>
    <w:tmpl w:val="1C68D24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658A3"/>
    <w:rsid w:val="00074155"/>
    <w:rsid w:val="000A3F69"/>
    <w:rsid w:val="00152C6D"/>
    <w:rsid w:val="00162D39"/>
    <w:rsid w:val="001A67DB"/>
    <w:rsid w:val="001D51E5"/>
    <w:rsid w:val="001F0C3B"/>
    <w:rsid w:val="00214427"/>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531B2"/>
    <w:rsid w:val="00C77645"/>
    <w:rsid w:val="00CE04C3"/>
    <w:rsid w:val="00CE76A0"/>
    <w:rsid w:val="00D148C6"/>
    <w:rsid w:val="00DD06FF"/>
    <w:rsid w:val="00DD5FE9"/>
    <w:rsid w:val="00E00C7A"/>
    <w:rsid w:val="00E55B68"/>
    <w:rsid w:val="00F74360"/>
    <w:rsid w:val="00FB462F"/>
    <w:rsid w:val="00FE16FA"/>
    <w:rsid w:val="00FE328A"/>
    <w:rsid w:val="017833D5"/>
    <w:rsid w:val="02C8621D"/>
    <w:rsid w:val="0993411D"/>
    <w:rsid w:val="0A6E1887"/>
    <w:rsid w:val="0AB81815"/>
    <w:rsid w:val="0B2C1F7E"/>
    <w:rsid w:val="0D04113C"/>
    <w:rsid w:val="0F0D70FB"/>
    <w:rsid w:val="110F5A3A"/>
    <w:rsid w:val="11901680"/>
    <w:rsid w:val="11AD4610"/>
    <w:rsid w:val="134F5A7E"/>
    <w:rsid w:val="14F7370D"/>
    <w:rsid w:val="16507D61"/>
    <w:rsid w:val="19C376F4"/>
    <w:rsid w:val="1AB45F28"/>
    <w:rsid w:val="1E2E0446"/>
    <w:rsid w:val="1F676E14"/>
    <w:rsid w:val="2A971196"/>
    <w:rsid w:val="2D5600F5"/>
    <w:rsid w:val="2E421A6B"/>
    <w:rsid w:val="2EB409CC"/>
    <w:rsid w:val="32BE69BB"/>
    <w:rsid w:val="35915DCE"/>
    <w:rsid w:val="37536FAF"/>
    <w:rsid w:val="37653EC8"/>
    <w:rsid w:val="3F6D21A0"/>
    <w:rsid w:val="401E05E7"/>
    <w:rsid w:val="40261339"/>
    <w:rsid w:val="437E7C89"/>
    <w:rsid w:val="47D72ED8"/>
    <w:rsid w:val="4B9F26DE"/>
    <w:rsid w:val="4BF71EB9"/>
    <w:rsid w:val="4D96072B"/>
    <w:rsid w:val="4E397F1E"/>
    <w:rsid w:val="4FAB5CD0"/>
    <w:rsid w:val="51396648"/>
    <w:rsid w:val="5436019A"/>
    <w:rsid w:val="54A82F2D"/>
    <w:rsid w:val="59252C33"/>
    <w:rsid w:val="5BD3146F"/>
    <w:rsid w:val="5CFE3FE7"/>
    <w:rsid w:val="61112A8E"/>
    <w:rsid w:val="61614A8A"/>
    <w:rsid w:val="62766AE2"/>
    <w:rsid w:val="62AD7C7D"/>
    <w:rsid w:val="634765C2"/>
    <w:rsid w:val="65091541"/>
    <w:rsid w:val="65841DBE"/>
    <w:rsid w:val="65D413CF"/>
    <w:rsid w:val="664269E9"/>
    <w:rsid w:val="68171C86"/>
    <w:rsid w:val="68424E85"/>
    <w:rsid w:val="685A6F9A"/>
    <w:rsid w:val="691D25E1"/>
    <w:rsid w:val="696E4976"/>
    <w:rsid w:val="6BFC10C0"/>
    <w:rsid w:val="6DAC0B3C"/>
    <w:rsid w:val="6DE0427E"/>
    <w:rsid w:val="7138492A"/>
    <w:rsid w:val="75143787"/>
    <w:rsid w:val="76547E11"/>
    <w:rsid w:val="7B842CBD"/>
    <w:rsid w:val="7E0A0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7"/>
    <w:link w:val="2"/>
    <w:semiHidden/>
    <w:qFormat/>
    <w:uiPriority w:val="99"/>
    <w:rPr>
      <w:sz w:val="18"/>
      <w:szCs w:val="18"/>
    </w:rPr>
  </w:style>
  <w:style w:type="paragraph" w:customStyle="1" w:styleId="15">
    <w:name w:val="列出段落"/>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A967F-99A7-44AE-8CB3-A0222E97A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1258</Words>
  <Characters>7176</Characters>
  <Lines>59</Lines>
  <Paragraphs>16</Paragraphs>
  <TotalTime>15</TotalTime>
  <ScaleCrop>false</ScaleCrop>
  <LinksUpToDate>false</LinksUpToDate>
  <CharactersWithSpaces>8418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冰雪梅mg</cp:lastModifiedBy>
  <cp:lastPrinted>2020-09-25T03:44:34Z</cp:lastPrinted>
  <dcterms:modified xsi:type="dcterms:W3CDTF">2020-09-25T03:58:05Z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